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E5BB18" w14:textId="77777777" w:rsidR="0029092B" w:rsidRDefault="0029092B">
      <w:pPr>
        <w:rPr>
          <w:rFonts w:hint="cs"/>
        </w:rPr>
      </w:pPr>
    </w:p>
    <w:tbl>
      <w:tblPr>
        <w:bidiVisual/>
        <w:tblW w:w="8363" w:type="dxa"/>
        <w:tblInd w:w="9" w:type="dxa"/>
        <w:tblLook w:val="0000" w:firstRow="0" w:lastRow="0" w:firstColumn="0" w:lastColumn="0" w:noHBand="0" w:noVBand="0"/>
      </w:tblPr>
      <w:tblGrid>
        <w:gridCol w:w="8363"/>
      </w:tblGrid>
      <w:tr w:rsidR="00036227" w14:paraId="5E560601" w14:textId="77777777" w:rsidTr="00095DAE">
        <w:tc>
          <w:tcPr>
            <w:tcW w:w="8363" w:type="dxa"/>
          </w:tcPr>
          <w:p w14:paraId="4B001C99" w14:textId="77777777" w:rsidR="00916FF8" w:rsidRPr="00624A42" w:rsidRDefault="00A1437D" w:rsidP="004C7868">
            <w:pPr>
              <w:pStyle w:val="FileNumber0"/>
              <w:rPr>
                <w:sz w:val="28"/>
                <w:u w:val="single"/>
                <w:rtl/>
              </w:rPr>
            </w:pPr>
            <w:r>
              <w:rPr>
                <w:u w:val="single"/>
                <w:rtl/>
              </w:rPr>
              <w:t>בבית המשפט העליון בשבתו כבית משפט גבוה לצדק</w:t>
            </w:r>
          </w:p>
        </w:tc>
      </w:tr>
    </w:tbl>
    <w:p w14:paraId="2531334D" w14:textId="77777777" w:rsidR="00916FF8" w:rsidRDefault="00916FF8">
      <w:pPr>
        <w:jc w:val="right"/>
        <w:rPr>
          <w:rFonts w:cs="Miriam"/>
          <w:b/>
          <w:bCs/>
          <w:u w:val="single"/>
        </w:rPr>
      </w:pPr>
    </w:p>
    <w:tbl>
      <w:tblPr>
        <w:bidiVisual/>
        <w:tblW w:w="8363" w:type="dxa"/>
        <w:tblLook w:val="0000" w:firstRow="0" w:lastRow="0" w:firstColumn="0" w:lastColumn="0" w:noHBand="0" w:noVBand="0"/>
      </w:tblPr>
      <w:tblGrid>
        <w:gridCol w:w="8363"/>
      </w:tblGrid>
      <w:tr w:rsidR="00036227" w14:paraId="200E5845" w14:textId="77777777" w:rsidTr="0039709B">
        <w:trPr>
          <w:trHeight w:val="342"/>
        </w:trPr>
        <w:tc>
          <w:tcPr>
            <w:tcW w:w="9828" w:type="dxa"/>
          </w:tcPr>
          <w:p w14:paraId="6B89C9C4" w14:textId="77777777" w:rsidR="00916FF8" w:rsidRPr="00810894" w:rsidRDefault="00A1437D">
            <w:pPr>
              <w:pStyle w:val="FileNumber"/>
              <w:rPr>
                <w:sz w:val="28"/>
                <w:szCs w:val="28"/>
              </w:rPr>
            </w:pPr>
            <w:bookmarkStart w:id="0" w:name="casename_body"/>
            <w:r>
              <w:rPr>
                <w:sz w:val="28"/>
                <w:szCs w:val="28"/>
                <w:rtl/>
              </w:rPr>
              <w:t xml:space="preserve">בג"ץ  </w:t>
            </w:r>
            <w:bookmarkStart w:id="1" w:name="_GoBack"/>
            <w:r>
              <w:rPr>
                <w:sz w:val="28"/>
                <w:szCs w:val="28"/>
                <w:rtl/>
              </w:rPr>
              <w:t>3030/23</w:t>
            </w:r>
            <w:bookmarkEnd w:id="1"/>
          </w:p>
        </w:tc>
      </w:tr>
      <w:bookmarkEnd w:id="0"/>
    </w:tbl>
    <w:p w14:paraId="615D107A" w14:textId="77777777" w:rsidR="00916FF8" w:rsidRDefault="00916FF8">
      <w:pPr>
        <w:jc w:val="right"/>
        <w:rPr>
          <w:rFonts w:cs="Miriam"/>
          <w:b/>
          <w:bCs/>
          <w:u w:val="single"/>
        </w:rPr>
      </w:pPr>
    </w:p>
    <w:tbl>
      <w:tblPr>
        <w:bidiVisual/>
        <w:tblW w:w="8364" w:type="dxa"/>
        <w:tblLayout w:type="fixed"/>
        <w:tblLook w:val="0000" w:firstRow="0" w:lastRow="0" w:firstColumn="0" w:lastColumn="0" w:noHBand="0" w:noVBand="0"/>
      </w:tblPr>
      <w:tblGrid>
        <w:gridCol w:w="3210"/>
        <w:gridCol w:w="5154"/>
      </w:tblGrid>
      <w:tr w:rsidR="00036227" w14:paraId="68FE2607" w14:textId="77777777" w:rsidTr="00EC23AC">
        <w:trPr>
          <w:trHeight w:val="287"/>
        </w:trPr>
        <w:tc>
          <w:tcPr>
            <w:tcW w:w="3261" w:type="dxa"/>
          </w:tcPr>
          <w:p w14:paraId="4A4E081D" w14:textId="77777777" w:rsidR="00036227" w:rsidRDefault="00CB7600">
            <w:pPr>
              <w:pStyle w:val="BodyRuller"/>
              <w:rPr>
                <w:rFonts w:cs="Miriam"/>
                <w:b/>
                <w:bCs/>
                <w:u w:val="single"/>
              </w:rPr>
            </w:pPr>
            <w:r>
              <w:rPr>
                <w:rFonts w:hint="cs"/>
                <w:rtl/>
              </w:rPr>
              <w:t>ל</w:t>
            </w:r>
            <w:r w:rsidR="00036227">
              <w:rPr>
                <w:rtl/>
              </w:rPr>
              <w:t>פני:</w:t>
            </w:r>
            <w:r w:rsidR="00036227">
              <w:rPr>
                <w:rtl/>
              </w:rPr>
              <w:tab/>
            </w:r>
          </w:p>
        </w:tc>
        <w:tc>
          <w:tcPr>
            <w:tcW w:w="5239" w:type="dxa"/>
          </w:tcPr>
          <w:p w14:paraId="2E9A1AAD" w14:textId="77777777" w:rsidR="00036227" w:rsidRDefault="00A1437D">
            <w:pPr>
              <w:pStyle w:val="BodyRuller"/>
            </w:pPr>
            <w:r>
              <w:rPr>
                <w:rtl/>
              </w:rPr>
              <w:t>כבוד השופט י' עמית</w:t>
            </w:r>
          </w:p>
        </w:tc>
      </w:tr>
      <w:tr w:rsidR="00A1437D" w14:paraId="4343D48D" w14:textId="77777777" w:rsidTr="00EC23AC">
        <w:trPr>
          <w:trHeight w:val="287"/>
        </w:trPr>
        <w:tc>
          <w:tcPr>
            <w:tcW w:w="3261" w:type="dxa"/>
          </w:tcPr>
          <w:p w14:paraId="7905C9CF" w14:textId="77777777" w:rsidR="00A1437D" w:rsidRDefault="00A1437D">
            <w:pPr>
              <w:pStyle w:val="BodyRuller"/>
              <w:rPr>
                <w:rtl/>
              </w:rPr>
            </w:pPr>
          </w:p>
        </w:tc>
        <w:tc>
          <w:tcPr>
            <w:tcW w:w="5239" w:type="dxa"/>
          </w:tcPr>
          <w:p w14:paraId="6E1C0049" w14:textId="77777777" w:rsidR="00A1437D" w:rsidRDefault="00A1437D">
            <w:pPr>
              <w:pStyle w:val="BodyRuller"/>
              <w:rPr>
                <w:rtl/>
              </w:rPr>
            </w:pPr>
            <w:r>
              <w:rPr>
                <w:rtl/>
              </w:rPr>
              <w:t>כבוד השופטת י' וילנר</w:t>
            </w:r>
          </w:p>
        </w:tc>
      </w:tr>
      <w:tr w:rsidR="00A1437D" w14:paraId="653D14DD" w14:textId="77777777" w:rsidTr="00EC23AC">
        <w:trPr>
          <w:trHeight w:val="287"/>
        </w:trPr>
        <w:tc>
          <w:tcPr>
            <w:tcW w:w="3261" w:type="dxa"/>
          </w:tcPr>
          <w:p w14:paraId="1C3DEB95" w14:textId="77777777" w:rsidR="00A1437D" w:rsidRDefault="00A1437D">
            <w:pPr>
              <w:pStyle w:val="BodyRuller"/>
              <w:rPr>
                <w:rtl/>
              </w:rPr>
            </w:pPr>
          </w:p>
        </w:tc>
        <w:tc>
          <w:tcPr>
            <w:tcW w:w="5239" w:type="dxa"/>
          </w:tcPr>
          <w:p w14:paraId="0E837C1D" w14:textId="77777777" w:rsidR="00A1437D" w:rsidRDefault="00A1437D">
            <w:pPr>
              <w:pStyle w:val="BodyRuller"/>
              <w:rPr>
                <w:rtl/>
              </w:rPr>
            </w:pPr>
            <w:r>
              <w:rPr>
                <w:rtl/>
              </w:rPr>
              <w:t>כבוד השופט א' שטיין</w:t>
            </w:r>
          </w:p>
        </w:tc>
      </w:tr>
    </w:tbl>
    <w:p w14:paraId="73564231" w14:textId="77777777" w:rsidR="00916FF8" w:rsidRDefault="00916FF8">
      <w:pPr>
        <w:pStyle w:val="Ruller3"/>
        <w:rPr>
          <w:rFonts w:cs="Miriam"/>
          <w:b/>
          <w:bCs/>
          <w:u w:val="single"/>
          <w:rtl/>
        </w:rPr>
      </w:pPr>
    </w:p>
    <w:tbl>
      <w:tblPr>
        <w:bidiVisual/>
        <w:tblW w:w="8364" w:type="dxa"/>
        <w:tblLayout w:type="fixed"/>
        <w:tblLook w:val="0000" w:firstRow="0" w:lastRow="0" w:firstColumn="0" w:lastColumn="0" w:noHBand="0" w:noVBand="0"/>
      </w:tblPr>
      <w:tblGrid>
        <w:gridCol w:w="3210"/>
        <w:gridCol w:w="5154"/>
      </w:tblGrid>
      <w:tr w:rsidR="00D00CB7" w14:paraId="3EDCB911" w14:textId="77777777" w:rsidTr="00DD6306">
        <w:trPr>
          <w:trHeight w:val="287"/>
        </w:trPr>
        <w:tc>
          <w:tcPr>
            <w:tcW w:w="3261" w:type="dxa"/>
          </w:tcPr>
          <w:p w14:paraId="1716D3C1" w14:textId="77777777" w:rsidR="00D00CB7" w:rsidRPr="00E75223" w:rsidRDefault="00A1437D" w:rsidP="0058350C">
            <w:pPr>
              <w:pStyle w:val="BodyRuller"/>
              <w:rPr>
                <w:rFonts w:ascii="David" w:hAnsi="David"/>
              </w:rPr>
            </w:pPr>
            <w:r>
              <w:rPr>
                <w:rFonts w:ascii="David" w:hAnsi="David"/>
                <w:rtl/>
              </w:rPr>
              <w:t>העותרים:</w:t>
            </w:r>
          </w:p>
        </w:tc>
        <w:tc>
          <w:tcPr>
            <w:tcW w:w="5239" w:type="dxa"/>
          </w:tcPr>
          <w:p w14:paraId="2B85961E" w14:textId="77777777" w:rsidR="00D00CB7" w:rsidRDefault="00A1437D" w:rsidP="0058350C">
            <w:pPr>
              <w:pStyle w:val="BodyRuller"/>
            </w:pPr>
            <w:r>
              <w:rPr>
                <w:rtl/>
              </w:rPr>
              <w:t>1. לוחמים לשלום</w:t>
            </w:r>
          </w:p>
        </w:tc>
      </w:tr>
      <w:tr w:rsidR="00A1437D" w14:paraId="57FC04FF" w14:textId="77777777" w:rsidTr="00DD6306">
        <w:trPr>
          <w:trHeight w:val="287"/>
        </w:trPr>
        <w:tc>
          <w:tcPr>
            <w:tcW w:w="3261" w:type="dxa"/>
          </w:tcPr>
          <w:p w14:paraId="34B4958C" w14:textId="77777777" w:rsidR="00A1437D" w:rsidRDefault="00A1437D" w:rsidP="0058350C">
            <w:pPr>
              <w:pStyle w:val="BodyRuller"/>
              <w:rPr>
                <w:rFonts w:ascii="David" w:hAnsi="David"/>
                <w:rtl/>
              </w:rPr>
            </w:pPr>
          </w:p>
        </w:tc>
        <w:tc>
          <w:tcPr>
            <w:tcW w:w="5239" w:type="dxa"/>
          </w:tcPr>
          <w:p w14:paraId="0ED9E392" w14:textId="77777777" w:rsidR="00A1437D" w:rsidRDefault="00A1437D" w:rsidP="0058350C">
            <w:pPr>
              <w:pStyle w:val="BodyRuller"/>
              <w:rPr>
                <w:rtl/>
              </w:rPr>
            </w:pPr>
            <w:r>
              <w:rPr>
                <w:rtl/>
              </w:rPr>
              <w:t>2. חוג ההורים - פורום המשפחות,</w:t>
            </w:r>
            <w:r w:rsidR="00095DAE">
              <w:rPr>
                <w:rFonts w:hint="cs"/>
                <w:rtl/>
              </w:rPr>
              <w:t xml:space="preserve"> </w:t>
            </w:r>
            <w:r>
              <w:rPr>
                <w:rtl/>
              </w:rPr>
              <w:t>משפחות שכולות למען שלום</w:t>
            </w:r>
            <w:r w:rsidR="00095DAE">
              <w:rPr>
                <w:rFonts w:hint="cs"/>
                <w:rtl/>
              </w:rPr>
              <w:t>, פיוס וסובלנות</w:t>
            </w:r>
          </w:p>
        </w:tc>
      </w:tr>
    </w:tbl>
    <w:p w14:paraId="7A5883E0" w14:textId="77777777" w:rsidR="00D00CB7" w:rsidRDefault="00D00CB7" w:rsidP="0058350C">
      <w:pPr>
        <w:pStyle w:val="Ruller3"/>
        <w:spacing w:line="240" w:lineRule="auto"/>
      </w:pPr>
    </w:p>
    <w:tbl>
      <w:tblPr>
        <w:bidiVisual/>
        <w:tblW w:w="8363" w:type="dxa"/>
        <w:tblLook w:val="0000" w:firstRow="0" w:lastRow="0" w:firstColumn="0" w:lastColumn="0" w:noHBand="0" w:noVBand="0"/>
      </w:tblPr>
      <w:tblGrid>
        <w:gridCol w:w="3222"/>
        <w:gridCol w:w="5141"/>
      </w:tblGrid>
      <w:tr w:rsidR="00036227" w14:paraId="2F98601A" w14:textId="77777777" w:rsidTr="0039709B">
        <w:tc>
          <w:tcPr>
            <w:tcW w:w="3284" w:type="dxa"/>
          </w:tcPr>
          <w:p w14:paraId="30C80F07" w14:textId="77777777" w:rsidR="00036227" w:rsidRDefault="00036227" w:rsidP="0058350C">
            <w:pPr>
              <w:pStyle w:val="BodyRuller"/>
            </w:pPr>
          </w:p>
        </w:tc>
        <w:tc>
          <w:tcPr>
            <w:tcW w:w="5238" w:type="dxa"/>
          </w:tcPr>
          <w:p w14:paraId="05F553B1" w14:textId="77777777" w:rsidR="00036227" w:rsidRDefault="00036227" w:rsidP="0058350C">
            <w:pPr>
              <w:pStyle w:val="BodyRuller"/>
            </w:pPr>
            <w:r>
              <w:rPr>
                <w:rFonts w:hint="cs"/>
                <w:rtl/>
              </w:rPr>
              <w:t>נ</w:t>
            </w:r>
            <w:r>
              <w:t xml:space="preserve">  </w:t>
            </w:r>
            <w:r>
              <w:rPr>
                <w:rFonts w:hint="cs"/>
                <w:rtl/>
              </w:rPr>
              <w:t>ג</w:t>
            </w:r>
            <w:r>
              <w:t xml:space="preserve">  </w:t>
            </w:r>
            <w:r>
              <w:rPr>
                <w:rFonts w:hint="cs"/>
                <w:rtl/>
              </w:rPr>
              <w:t>ד</w:t>
            </w:r>
          </w:p>
        </w:tc>
      </w:tr>
    </w:tbl>
    <w:p w14:paraId="03ABA522" w14:textId="77777777" w:rsidR="00916FF8" w:rsidRDefault="00916FF8" w:rsidP="0058350C">
      <w:pPr>
        <w:pStyle w:val="Ruller3"/>
        <w:spacing w:line="240" w:lineRule="auto"/>
        <w:rPr>
          <w:rtl/>
        </w:rPr>
      </w:pPr>
    </w:p>
    <w:tbl>
      <w:tblPr>
        <w:bidiVisual/>
        <w:tblW w:w="8364" w:type="dxa"/>
        <w:tblLayout w:type="fixed"/>
        <w:tblLook w:val="0000" w:firstRow="0" w:lastRow="0" w:firstColumn="0" w:lastColumn="0" w:noHBand="0" w:noVBand="0"/>
      </w:tblPr>
      <w:tblGrid>
        <w:gridCol w:w="3210"/>
        <w:gridCol w:w="5154"/>
      </w:tblGrid>
      <w:tr w:rsidR="0083345F" w14:paraId="3363CFEB" w14:textId="77777777" w:rsidTr="00DD6306">
        <w:trPr>
          <w:trHeight w:val="287"/>
        </w:trPr>
        <w:tc>
          <w:tcPr>
            <w:tcW w:w="3261" w:type="dxa"/>
          </w:tcPr>
          <w:p w14:paraId="6AEABB1A" w14:textId="77777777" w:rsidR="0083345F" w:rsidRPr="00E75223" w:rsidRDefault="00A1437D" w:rsidP="0058350C">
            <w:pPr>
              <w:pStyle w:val="BodyRuller"/>
              <w:rPr>
                <w:rFonts w:ascii="David" w:hAnsi="David"/>
              </w:rPr>
            </w:pPr>
            <w:r>
              <w:rPr>
                <w:rFonts w:ascii="David" w:hAnsi="David"/>
                <w:rtl/>
              </w:rPr>
              <w:t>המשיבים:</w:t>
            </w:r>
          </w:p>
        </w:tc>
        <w:tc>
          <w:tcPr>
            <w:tcW w:w="5239" w:type="dxa"/>
          </w:tcPr>
          <w:p w14:paraId="4A18C5A9" w14:textId="77777777" w:rsidR="0083345F" w:rsidRDefault="00A1437D" w:rsidP="0058350C">
            <w:pPr>
              <w:pStyle w:val="BodyRuller"/>
            </w:pPr>
            <w:r>
              <w:rPr>
                <w:rtl/>
              </w:rPr>
              <w:t>1. שר הביטחון</w:t>
            </w:r>
          </w:p>
        </w:tc>
      </w:tr>
      <w:tr w:rsidR="00A1437D" w14:paraId="698CC29F" w14:textId="77777777" w:rsidTr="00DD6306">
        <w:trPr>
          <w:trHeight w:val="287"/>
        </w:trPr>
        <w:tc>
          <w:tcPr>
            <w:tcW w:w="3261" w:type="dxa"/>
          </w:tcPr>
          <w:p w14:paraId="172C36F3" w14:textId="77777777" w:rsidR="00A1437D" w:rsidRDefault="00A1437D" w:rsidP="0058350C">
            <w:pPr>
              <w:pStyle w:val="BodyRuller"/>
              <w:rPr>
                <w:rFonts w:ascii="David" w:hAnsi="David"/>
                <w:rtl/>
              </w:rPr>
            </w:pPr>
          </w:p>
        </w:tc>
        <w:tc>
          <w:tcPr>
            <w:tcW w:w="5239" w:type="dxa"/>
          </w:tcPr>
          <w:p w14:paraId="1644D42F" w14:textId="77777777" w:rsidR="00A1437D" w:rsidRDefault="00A1437D" w:rsidP="0058350C">
            <w:pPr>
              <w:pStyle w:val="BodyRuller"/>
              <w:rPr>
                <w:rtl/>
              </w:rPr>
            </w:pPr>
            <w:r>
              <w:rPr>
                <w:rtl/>
              </w:rPr>
              <w:t>2. המפקד הצבאי לאזור הגדה המערבית</w:t>
            </w:r>
          </w:p>
        </w:tc>
      </w:tr>
      <w:tr w:rsidR="00A1437D" w14:paraId="576E808E" w14:textId="77777777" w:rsidTr="00DD6306">
        <w:trPr>
          <w:trHeight w:val="287"/>
        </w:trPr>
        <w:tc>
          <w:tcPr>
            <w:tcW w:w="3261" w:type="dxa"/>
          </w:tcPr>
          <w:p w14:paraId="58134CC4" w14:textId="77777777" w:rsidR="00A1437D" w:rsidRDefault="00A1437D" w:rsidP="0058350C">
            <w:pPr>
              <w:pStyle w:val="BodyRuller"/>
              <w:rPr>
                <w:rFonts w:ascii="David" w:hAnsi="David"/>
                <w:rtl/>
              </w:rPr>
            </w:pPr>
          </w:p>
        </w:tc>
        <w:tc>
          <w:tcPr>
            <w:tcW w:w="5239" w:type="dxa"/>
          </w:tcPr>
          <w:p w14:paraId="7774D078" w14:textId="51E69719" w:rsidR="00A1437D" w:rsidRDefault="00A1437D" w:rsidP="0058350C">
            <w:pPr>
              <w:pStyle w:val="BodyRuller"/>
              <w:rPr>
                <w:rtl/>
              </w:rPr>
            </w:pPr>
            <w:r>
              <w:rPr>
                <w:rtl/>
              </w:rPr>
              <w:t xml:space="preserve">3. </w:t>
            </w:r>
            <w:proofErr w:type="spellStart"/>
            <w:r>
              <w:rPr>
                <w:rtl/>
              </w:rPr>
              <w:t>המ</w:t>
            </w:r>
            <w:r w:rsidR="0058350C">
              <w:rPr>
                <w:rFonts w:hint="cs"/>
                <w:rtl/>
              </w:rPr>
              <w:t>י</w:t>
            </w:r>
            <w:r>
              <w:rPr>
                <w:rtl/>
              </w:rPr>
              <w:t>נהל</w:t>
            </w:r>
            <w:proofErr w:type="spellEnd"/>
            <w:r>
              <w:rPr>
                <w:rtl/>
              </w:rPr>
              <w:t xml:space="preserve"> האזרחי לאזור יהודה ושומרון</w:t>
            </w:r>
          </w:p>
        </w:tc>
      </w:tr>
    </w:tbl>
    <w:p w14:paraId="4546B641" w14:textId="437B1EA0" w:rsidR="0083345F" w:rsidRDefault="0083345F" w:rsidP="0058350C">
      <w:pPr>
        <w:pStyle w:val="Ruller3"/>
        <w:spacing w:line="240" w:lineRule="auto"/>
        <w:rPr>
          <w:rtl/>
        </w:rPr>
      </w:pPr>
    </w:p>
    <w:tbl>
      <w:tblPr>
        <w:bidiVisual/>
        <w:tblW w:w="8363" w:type="dxa"/>
        <w:tblLook w:val="0000" w:firstRow="0" w:lastRow="0" w:firstColumn="0" w:lastColumn="0" w:noHBand="0" w:noVBand="0"/>
      </w:tblPr>
      <w:tblGrid>
        <w:gridCol w:w="3230"/>
        <w:gridCol w:w="5133"/>
      </w:tblGrid>
      <w:tr w:rsidR="0058350C" w14:paraId="7EE484E0" w14:textId="77777777" w:rsidTr="0039709B">
        <w:tc>
          <w:tcPr>
            <w:tcW w:w="3284" w:type="dxa"/>
          </w:tcPr>
          <w:p w14:paraId="51C62745" w14:textId="5625F7A8" w:rsidR="0058350C" w:rsidRDefault="0058350C" w:rsidP="0058350C">
            <w:pPr>
              <w:pStyle w:val="BodyRuller"/>
            </w:pPr>
            <w:r>
              <w:rPr>
                <w:rFonts w:hint="cs"/>
                <w:rtl/>
              </w:rPr>
              <w:t>המבקשת להצטרף כ'ידיד בית המשפט':</w:t>
            </w:r>
          </w:p>
        </w:tc>
        <w:tc>
          <w:tcPr>
            <w:tcW w:w="5238" w:type="dxa"/>
          </w:tcPr>
          <w:p w14:paraId="39DD6E7D" w14:textId="52746138" w:rsidR="0058350C" w:rsidRDefault="0058350C" w:rsidP="0058350C">
            <w:pPr>
              <w:pStyle w:val="BodyRuller"/>
            </w:pPr>
            <w:r>
              <w:rPr>
                <w:rFonts w:hint="cs"/>
                <w:rtl/>
              </w:rPr>
              <w:t xml:space="preserve">בחרנו בחיים! </w:t>
            </w:r>
            <w:r>
              <w:rPr>
                <w:rtl/>
              </w:rPr>
              <w:t>–</w:t>
            </w:r>
            <w:r>
              <w:rPr>
                <w:rFonts w:hint="cs"/>
                <w:rtl/>
              </w:rPr>
              <w:t xml:space="preserve"> משפחות שכולות ונפגעי פעולות איבה</w:t>
            </w:r>
          </w:p>
        </w:tc>
      </w:tr>
    </w:tbl>
    <w:p w14:paraId="6552C354" w14:textId="185A0D8A" w:rsidR="0058350C" w:rsidRDefault="0058350C" w:rsidP="0058350C">
      <w:pPr>
        <w:pStyle w:val="Ruller3"/>
        <w:spacing w:line="240" w:lineRule="auto"/>
      </w:pPr>
    </w:p>
    <w:tbl>
      <w:tblPr>
        <w:bidiVisual/>
        <w:tblW w:w="0" w:type="auto"/>
        <w:tblInd w:w="3209" w:type="dxa"/>
        <w:tblLook w:val="0000" w:firstRow="0" w:lastRow="0" w:firstColumn="0" w:lastColumn="0" w:noHBand="0" w:noVBand="0"/>
      </w:tblPr>
      <w:tblGrid>
        <w:gridCol w:w="5103"/>
      </w:tblGrid>
      <w:tr w:rsidR="00036227" w14:paraId="3140C210" w14:textId="77777777" w:rsidTr="00CA1444">
        <w:tc>
          <w:tcPr>
            <w:tcW w:w="5103" w:type="dxa"/>
          </w:tcPr>
          <w:p w14:paraId="44CAC051" w14:textId="04532799" w:rsidR="00916FF8" w:rsidRPr="00265F6E" w:rsidRDefault="004C45DA" w:rsidP="0058350C">
            <w:pPr>
              <w:pStyle w:val="BodyRuller"/>
              <w:jc w:val="both"/>
              <w:rPr>
                <w:sz w:val="24"/>
                <w:szCs w:val="24"/>
              </w:rPr>
            </w:pPr>
            <w:r>
              <w:rPr>
                <w:rFonts w:hint="cs"/>
                <w:sz w:val="24"/>
                <w:szCs w:val="24"/>
                <w:rtl/>
              </w:rPr>
              <w:t>עתירה למתן צו על תנאי</w:t>
            </w:r>
            <w:r w:rsidR="009E6C1F">
              <w:rPr>
                <w:rFonts w:hint="cs"/>
                <w:sz w:val="24"/>
                <w:szCs w:val="24"/>
                <w:rtl/>
              </w:rPr>
              <w:t xml:space="preserve">; </w:t>
            </w:r>
            <w:r w:rsidR="0058350C">
              <w:rPr>
                <w:rFonts w:hint="cs"/>
                <w:sz w:val="24"/>
                <w:szCs w:val="24"/>
                <w:rtl/>
              </w:rPr>
              <w:t>ו</w:t>
            </w:r>
            <w:r w:rsidR="009E6C1F" w:rsidRPr="007263ED">
              <w:rPr>
                <w:rFonts w:hint="cs"/>
                <w:sz w:val="24"/>
                <w:szCs w:val="24"/>
                <w:rtl/>
              </w:rPr>
              <w:t>בקשה להצטרף ל</w:t>
            </w:r>
            <w:r w:rsidR="0058350C">
              <w:rPr>
                <w:rFonts w:hint="cs"/>
                <w:sz w:val="24"/>
                <w:szCs w:val="24"/>
                <w:rtl/>
              </w:rPr>
              <w:t xml:space="preserve">עתירה </w:t>
            </w:r>
            <w:r w:rsidR="009E6C1F" w:rsidRPr="007263ED">
              <w:rPr>
                <w:rFonts w:hint="cs"/>
                <w:sz w:val="24"/>
                <w:szCs w:val="24"/>
                <w:rtl/>
              </w:rPr>
              <w:t>כ</w:t>
            </w:r>
            <w:r w:rsidR="0058350C">
              <w:rPr>
                <w:rFonts w:hint="cs"/>
                <w:sz w:val="24"/>
                <w:szCs w:val="24"/>
                <w:rtl/>
              </w:rPr>
              <w:t>'</w:t>
            </w:r>
            <w:r w:rsidR="009E6C1F" w:rsidRPr="007263ED">
              <w:rPr>
                <w:rFonts w:hint="cs"/>
                <w:sz w:val="24"/>
                <w:szCs w:val="24"/>
                <w:rtl/>
              </w:rPr>
              <w:t>ידיד בית משפט</w:t>
            </w:r>
            <w:r w:rsidR="0058350C">
              <w:rPr>
                <w:rFonts w:hint="cs"/>
                <w:sz w:val="24"/>
                <w:szCs w:val="24"/>
                <w:rtl/>
              </w:rPr>
              <w:t>'</w:t>
            </w:r>
          </w:p>
        </w:tc>
      </w:tr>
    </w:tbl>
    <w:p w14:paraId="1C61A31A" w14:textId="77777777" w:rsidR="00916FF8" w:rsidRDefault="00916FF8" w:rsidP="0058350C">
      <w:pPr>
        <w:pStyle w:val="Ruller3"/>
        <w:spacing w:line="240" w:lineRule="auto"/>
        <w:rPr>
          <w:rtl/>
        </w:rPr>
      </w:pPr>
    </w:p>
    <w:tbl>
      <w:tblPr>
        <w:bidiVisual/>
        <w:tblW w:w="83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0"/>
        <w:gridCol w:w="4846"/>
        <w:gridCol w:w="287"/>
      </w:tblGrid>
      <w:tr w:rsidR="004C45DA" w:rsidRPr="002F49D1" w14:paraId="0311D6F9" w14:textId="77777777" w:rsidTr="00DC49DB">
        <w:tc>
          <w:tcPr>
            <w:tcW w:w="3230" w:type="dxa"/>
            <w:tcBorders>
              <w:top w:val="nil"/>
              <w:left w:val="nil"/>
              <w:bottom w:val="nil"/>
              <w:right w:val="nil"/>
            </w:tcBorders>
          </w:tcPr>
          <w:p w14:paraId="68BAD444" w14:textId="77777777" w:rsidR="004C45DA" w:rsidRPr="002F49D1" w:rsidRDefault="004C45DA" w:rsidP="0058350C">
            <w:pPr>
              <w:pStyle w:val="BodyRuller"/>
              <w:rPr>
                <w:rFonts w:ascii="David" w:hAnsi="David"/>
                <w:sz w:val="24"/>
                <w:szCs w:val="24"/>
                <w:rtl/>
              </w:rPr>
            </w:pPr>
            <w:r w:rsidRPr="002F49D1">
              <w:rPr>
                <w:rFonts w:ascii="David" w:hAnsi="David"/>
                <w:sz w:val="24"/>
                <w:szCs w:val="24"/>
                <w:rtl/>
              </w:rPr>
              <w:t>תאריך הישיבה:</w:t>
            </w:r>
          </w:p>
        </w:tc>
        <w:tc>
          <w:tcPr>
            <w:tcW w:w="4846" w:type="dxa"/>
            <w:tcBorders>
              <w:top w:val="nil"/>
              <w:left w:val="nil"/>
              <w:bottom w:val="nil"/>
              <w:right w:val="nil"/>
            </w:tcBorders>
          </w:tcPr>
          <w:p w14:paraId="626E1AE7" w14:textId="73B55F37" w:rsidR="004C45DA" w:rsidRPr="002F49D1" w:rsidRDefault="004C45DA" w:rsidP="0058350C">
            <w:pPr>
              <w:pStyle w:val="BodyRuller"/>
              <w:rPr>
                <w:rFonts w:ascii="David" w:hAnsi="David"/>
                <w:rtl/>
              </w:rPr>
            </w:pPr>
            <w:r>
              <w:rPr>
                <w:rFonts w:ascii="David" w:hAnsi="David" w:hint="cs"/>
                <w:sz w:val="24"/>
                <w:szCs w:val="24"/>
                <w:rtl/>
              </w:rPr>
              <w:t>ב'</w:t>
            </w:r>
            <w:r w:rsidRPr="002F49D1">
              <w:rPr>
                <w:rFonts w:ascii="David" w:hAnsi="David" w:hint="cs"/>
                <w:sz w:val="24"/>
                <w:szCs w:val="24"/>
                <w:rtl/>
              </w:rPr>
              <w:t xml:space="preserve"> </w:t>
            </w:r>
            <w:r w:rsidRPr="002F49D1">
              <w:rPr>
                <w:rFonts w:ascii="David" w:hAnsi="David"/>
                <w:sz w:val="24"/>
                <w:szCs w:val="24"/>
                <w:rtl/>
              </w:rPr>
              <w:t>ב</w:t>
            </w:r>
            <w:r>
              <w:rPr>
                <w:rFonts w:ascii="David" w:hAnsi="David" w:hint="cs"/>
                <w:sz w:val="24"/>
                <w:szCs w:val="24"/>
                <w:rtl/>
              </w:rPr>
              <w:t>אייר</w:t>
            </w:r>
            <w:r w:rsidRPr="002F49D1">
              <w:rPr>
                <w:rFonts w:ascii="David" w:hAnsi="David"/>
                <w:sz w:val="24"/>
                <w:szCs w:val="24"/>
                <w:rtl/>
              </w:rPr>
              <w:t xml:space="preserve"> </w:t>
            </w:r>
            <w:proofErr w:type="spellStart"/>
            <w:r w:rsidRPr="002F49D1">
              <w:rPr>
                <w:rFonts w:ascii="David" w:hAnsi="David"/>
                <w:sz w:val="24"/>
                <w:szCs w:val="24"/>
                <w:rtl/>
              </w:rPr>
              <w:t>התשפ"ג</w:t>
            </w:r>
            <w:proofErr w:type="spellEnd"/>
            <w:r w:rsidRPr="002F49D1">
              <w:rPr>
                <w:rFonts w:ascii="David" w:hAnsi="David"/>
                <w:sz w:val="24"/>
                <w:szCs w:val="24"/>
                <w:rtl/>
              </w:rPr>
              <w:t xml:space="preserve"> </w:t>
            </w:r>
            <w:r w:rsidR="0058350C">
              <w:rPr>
                <w:rFonts w:ascii="David" w:hAnsi="David" w:hint="cs"/>
                <w:sz w:val="24"/>
                <w:szCs w:val="24"/>
                <w:rtl/>
              </w:rPr>
              <w:t xml:space="preserve">                  </w:t>
            </w:r>
            <w:r w:rsidRPr="0058350C">
              <w:rPr>
                <w:rFonts w:ascii="David" w:hAnsi="David"/>
                <w:sz w:val="28"/>
                <w:rtl/>
              </w:rPr>
              <w:t>(</w:t>
            </w:r>
            <w:r w:rsidRPr="0058350C">
              <w:rPr>
                <w:rFonts w:ascii="David" w:hAnsi="David" w:hint="cs"/>
                <w:sz w:val="28"/>
                <w:rtl/>
              </w:rPr>
              <w:t>23</w:t>
            </w:r>
            <w:r w:rsidRPr="0058350C">
              <w:rPr>
                <w:rFonts w:ascii="David" w:hAnsi="David"/>
                <w:sz w:val="28"/>
                <w:rtl/>
              </w:rPr>
              <w:t>.</w:t>
            </w:r>
            <w:r w:rsidRPr="0058350C">
              <w:rPr>
                <w:rFonts w:ascii="David" w:hAnsi="David" w:hint="cs"/>
                <w:sz w:val="28"/>
                <w:rtl/>
              </w:rPr>
              <w:t>4</w:t>
            </w:r>
            <w:r w:rsidRPr="0058350C">
              <w:rPr>
                <w:rFonts w:ascii="David" w:hAnsi="David"/>
                <w:sz w:val="28"/>
                <w:rtl/>
              </w:rPr>
              <w:t>.2023)</w:t>
            </w:r>
          </w:p>
        </w:tc>
        <w:tc>
          <w:tcPr>
            <w:tcW w:w="287" w:type="dxa"/>
            <w:tcBorders>
              <w:top w:val="nil"/>
              <w:left w:val="nil"/>
              <w:bottom w:val="nil"/>
              <w:right w:val="nil"/>
            </w:tcBorders>
          </w:tcPr>
          <w:p w14:paraId="350B06D5" w14:textId="77777777" w:rsidR="004C45DA" w:rsidRPr="002F49D1" w:rsidRDefault="004C45DA" w:rsidP="0058350C">
            <w:pPr>
              <w:pStyle w:val="BodyRuller"/>
              <w:rPr>
                <w:rFonts w:ascii="David" w:hAnsi="David"/>
                <w:sz w:val="24"/>
                <w:szCs w:val="24"/>
                <w:rtl/>
              </w:rPr>
            </w:pPr>
          </w:p>
        </w:tc>
      </w:tr>
    </w:tbl>
    <w:p w14:paraId="51C5A17C" w14:textId="77777777" w:rsidR="0058350C" w:rsidRDefault="0058350C" w:rsidP="0058350C">
      <w:pPr>
        <w:pStyle w:val="Ruller3"/>
        <w:spacing w:line="240" w:lineRule="auto"/>
        <w:rPr>
          <w:rtl/>
        </w:rPr>
      </w:pPr>
    </w:p>
    <w:tbl>
      <w:tblPr>
        <w:bidiVisual/>
        <w:tblW w:w="8363" w:type="dxa"/>
        <w:tblLook w:val="0000" w:firstRow="0" w:lastRow="0" w:firstColumn="0" w:lastColumn="0" w:noHBand="0" w:noVBand="0"/>
      </w:tblPr>
      <w:tblGrid>
        <w:gridCol w:w="3234"/>
        <w:gridCol w:w="5129"/>
      </w:tblGrid>
      <w:tr w:rsidR="0058350C" w14:paraId="52DB475B" w14:textId="77777777" w:rsidTr="0039709B">
        <w:tc>
          <w:tcPr>
            <w:tcW w:w="3284" w:type="dxa"/>
          </w:tcPr>
          <w:p w14:paraId="074D46F5" w14:textId="19C180C6" w:rsidR="0058350C" w:rsidRDefault="0058350C" w:rsidP="0058350C">
            <w:pPr>
              <w:pStyle w:val="BodyRuller"/>
            </w:pPr>
            <w:r>
              <w:rPr>
                <w:rFonts w:hint="cs"/>
                <w:rtl/>
              </w:rPr>
              <w:t>בשם העותרים:</w:t>
            </w:r>
          </w:p>
        </w:tc>
        <w:tc>
          <w:tcPr>
            <w:tcW w:w="5238" w:type="dxa"/>
          </w:tcPr>
          <w:p w14:paraId="3AA7CFCA" w14:textId="7912E686" w:rsidR="0058350C" w:rsidRDefault="0058350C" w:rsidP="0058350C">
            <w:pPr>
              <w:pStyle w:val="BodyRuller"/>
            </w:pPr>
            <w:r>
              <w:rPr>
                <w:rFonts w:hint="cs"/>
                <w:rtl/>
              </w:rPr>
              <w:t xml:space="preserve">עו"ד תמיר </w:t>
            </w:r>
            <w:proofErr w:type="spellStart"/>
            <w:r>
              <w:rPr>
                <w:rFonts w:hint="cs"/>
                <w:rtl/>
              </w:rPr>
              <w:t>בלנק</w:t>
            </w:r>
            <w:proofErr w:type="spellEnd"/>
          </w:p>
        </w:tc>
      </w:tr>
    </w:tbl>
    <w:p w14:paraId="4F61367B" w14:textId="77777777" w:rsidR="0058350C" w:rsidRDefault="0058350C" w:rsidP="0058350C">
      <w:pPr>
        <w:pStyle w:val="Ruller3"/>
        <w:spacing w:line="240" w:lineRule="auto"/>
        <w:rPr>
          <w:rtl/>
        </w:rPr>
      </w:pPr>
    </w:p>
    <w:tbl>
      <w:tblPr>
        <w:bidiVisual/>
        <w:tblW w:w="8363" w:type="dxa"/>
        <w:tblLook w:val="0000" w:firstRow="0" w:lastRow="0" w:firstColumn="0" w:lastColumn="0" w:noHBand="0" w:noVBand="0"/>
      </w:tblPr>
      <w:tblGrid>
        <w:gridCol w:w="3235"/>
        <w:gridCol w:w="5128"/>
      </w:tblGrid>
      <w:tr w:rsidR="0058350C" w14:paraId="761D7562" w14:textId="77777777" w:rsidTr="0039709B">
        <w:tc>
          <w:tcPr>
            <w:tcW w:w="3284" w:type="dxa"/>
          </w:tcPr>
          <w:p w14:paraId="4BAB3F92" w14:textId="00CADBFE" w:rsidR="0058350C" w:rsidRDefault="0058350C" w:rsidP="0058350C">
            <w:pPr>
              <w:pStyle w:val="BodyRuller"/>
            </w:pPr>
            <w:r>
              <w:rPr>
                <w:rFonts w:hint="cs"/>
                <w:rtl/>
              </w:rPr>
              <w:t>בשם המשיבים:</w:t>
            </w:r>
          </w:p>
        </w:tc>
        <w:tc>
          <w:tcPr>
            <w:tcW w:w="5238" w:type="dxa"/>
          </w:tcPr>
          <w:p w14:paraId="03B29C29" w14:textId="3F1EE1B0" w:rsidR="0058350C" w:rsidRDefault="0058350C" w:rsidP="0058350C">
            <w:pPr>
              <w:pStyle w:val="BodyRuller"/>
            </w:pPr>
            <w:r>
              <w:rPr>
                <w:rFonts w:hint="cs"/>
                <w:rtl/>
              </w:rPr>
              <w:t xml:space="preserve">עו"ד יונתן </w:t>
            </w:r>
            <w:proofErr w:type="spellStart"/>
            <w:r>
              <w:rPr>
                <w:rFonts w:hint="cs"/>
                <w:rtl/>
              </w:rPr>
              <w:t>נד"ב</w:t>
            </w:r>
            <w:proofErr w:type="spellEnd"/>
            <w:r>
              <w:rPr>
                <w:rFonts w:hint="cs"/>
                <w:rtl/>
              </w:rPr>
              <w:t xml:space="preserve">; עו"ד יונתן </w:t>
            </w:r>
            <w:proofErr w:type="spellStart"/>
            <w:r>
              <w:rPr>
                <w:rFonts w:hint="cs"/>
                <w:rtl/>
              </w:rPr>
              <w:t>סיטון</w:t>
            </w:r>
            <w:proofErr w:type="spellEnd"/>
          </w:p>
        </w:tc>
      </w:tr>
    </w:tbl>
    <w:p w14:paraId="793CAB1D" w14:textId="77777777" w:rsidR="0058350C" w:rsidRDefault="0058350C" w:rsidP="0058350C">
      <w:pPr>
        <w:pStyle w:val="Ruller3"/>
        <w:spacing w:line="240" w:lineRule="auto"/>
        <w:rPr>
          <w:rtl/>
        </w:rPr>
      </w:pPr>
    </w:p>
    <w:tbl>
      <w:tblPr>
        <w:bidiVisual/>
        <w:tblW w:w="8363" w:type="dxa"/>
        <w:tblLook w:val="0000" w:firstRow="0" w:lastRow="0" w:firstColumn="0" w:lastColumn="0" w:noHBand="0" w:noVBand="0"/>
      </w:tblPr>
      <w:tblGrid>
        <w:gridCol w:w="3233"/>
        <w:gridCol w:w="5130"/>
      </w:tblGrid>
      <w:tr w:rsidR="0058350C" w14:paraId="2FE46BCA" w14:textId="77777777" w:rsidTr="0039709B">
        <w:tc>
          <w:tcPr>
            <w:tcW w:w="3284" w:type="dxa"/>
          </w:tcPr>
          <w:p w14:paraId="03EF7C9A" w14:textId="7A54BBF5" w:rsidR="0058350C" w:rsidRDefault="0058350C" w:rsidP="0058350C">
            <w:pPr>
              <w:pStyle w:val="BodyRuller"/>
            </w:pPr>
            <w:r>
              <w:rPr>
                <w:rFonts w:hint="cs"/>
                <w:rtl/>
              </w:rPr>
              <w:lastRenderedPageBreak/>
              <w:t>בשם המבקשת להצטרף כ'ידיד בית המשפט':</w:t>
            </w:r>
          </w:p>
        </w:tc>
        <w:tc>
          <w:tcPr>
            <w:tcW w:w="5238" w:type="dxa"/>
          </w:tcPr>
          <w:p w14:paraId="158BD12D" w14:textId="69A1A65D" w:rsidR="0058350C" w:rsidRDefault="0058350C" w:rsidP="0058350C">
            <w:pPr>
              <w:pStyle w:val="BodyRuller"/>
            </w:pPr>
            <w:r>
              <w:rPr>
                <w:rFonts w:hint="cs"/>
                <w:rtl/>
              </w:rPr>
              <w:t>עו"ד יותם אייל</w:t>
            </w:r>
          </w:p>
        </w:tc>
      </w:tr>
    </w:tbl>
    <w:p w14:paraId="5E70CDC5" w14:textId="53DA9769" w:rsidR="004C45DA" w:rsidRDefault="004C45DA">
      <w:pPr>
        <w:pStyle w:val="Ruller3"/>
      </w:pPr>
      <w:r>
        <w:rPr>
          <w:rFonts w:hint="cs"/>
          <w:rtl/>
        </w:rPr>
        <w:t xml:space="preserve"> </w:t>
      </w:r>
    </w:p>
    <w:tbl>
      <w:tblPr>
        <w:bidiVisual/>
        <w:tblW w:w="8363" w:type="dxa"/>
        <w:tblLook w:val="0000" w:firstRow="0" w:lastRow="0" w:firstColumn="0" w:lastColumn="0" w:noHBand="0" w:noVBand="0"/>
      </w:tblPr>
      <w:tblGrid>
        <w:gridCol w:w="8363"/>
      </w:tblGrid>
      <w:tr w:rsidR="00036227" w14:paraId="41E9D128" w14:textId="77777777" w:rsidTr="0058350C">
        <w:tc>
          <w:tcPr>
            <w:tcW w:w="8363" w:type="dxa"/>
          </w:tcPr>
          <w:p w14:paraId="5B936DD8" w14:textId="77777777" w:rsidR="00916FF8" w:rsidRDefault="00A1437D">
            <w:pPr>
              <w:pStyle w:val="DocumentHead"/>
            </w:pPr>
            <w:bookmarkStart w:id="2" w:name="secretary"/>
            <w:bookmarkStart w:id="3" w:name="BeginProtocol"/>
            <w:bookmarkEnd w:id="2"/>
            <w:bookmarkEnd w:id="3"/>
            <w:r>
              <w:rPr>
                <w:rtl/>
              </w:rPr>
              <w:t>פסק-דין</w:t>
            </w:r>
          </w:p>
        </w:tc>
      </w:tr>
    </w:tbl>
    <w:p w14:paraId="0E556320" w14:textId="07309B11" w:rsidR="00B409AD" w:rsidRDefault="00B409AD" w:rsidP="00ED20C7">
      <w:pPr>
        <w:pStyle w:val="Ruller40"/>
        <w:spacing w:line="240" w:lineRule="auto"/>
        <w:rPr>
          <w:sz w:val="28"/>
          <w:szCs w:val="34"/>
          <w:rtl/>
        </w:rPr>
      </w:pPr>
    </w:p>
    <w:p w14:paraId="029246E7" w14:textId="1D0C622E" w:rsidR="00ED20C7" w:rsidRDefault="00ED20C7" w:rsidP="00ED20C7">
      <w:pPr>
        <w:pStyle w:val="BODYVERDICT"/>
        <w:rPr>
          <w:rtl/>
        </w:rPr>
      </w:pPr>
      <w:r w:rsidRPr="004B2249">
        <w:rPr>
          <w:rFonts w:ascii="Century" w:hAnsi="Century" w:cs="Miriam" w:hint="cs"/>
          <w:b/>
          <w:spacing w:val="0"/>
          <w:szCs w:val="24"/>
          <w:u w:val="single"/>
          <w:rtl/>
        </w:rPr>
        <w:t xml:space="preserve">השופט </w:t>
      </w:r>
      <w:r>
        <w:rPr>
          <w:rFonts w:ascii="Century" w:hAnsi="Century" w:cs="Miriam" w:hint="cs"/>
          <w:b/>
          <w:spacing w:val="0"/>
          <w:szCs w:val="24"/>
          <w:u w:val="single"/>
          <w:rtl/>
        </w:rPr>
        <w:t>י' עמית</w:t>
      </w:r>
      <w:r>
        <w:rPr>
          <w:rFonts w:hint="cs"/>
          <w:rtl/>
        </w:rPr>
        <w:t>:</w:t>
      </w:r>
    </w:p>
    <w:p w14:paraId="6EB9928C" w14:textId="4A60E732" w:rsidR="00ED20C7" w:rsidRPr="00035DC3" w:rsidRDefault="00ED20C7" w:rsidP="00B409AD">
      <w:pPr>
        <w:pStyle w:val="Ruller40"/>
        <w:rPr>
          <w:sz w:val="28"/>
          <w:szCs w:val="34"/>
          <w:rtl/>
        </w:rPr>
      </w:pPr>
    </w:p>
    <w:p w14:paraId="7CC869BC" w14:textId="77777777" w:rsidR="00B409AD" w:rsidRDefault="00B409AD" w:rsidP="00B409AD">
      <w:pPr>
        <w:pStyle w:val="Ruller40"/>
        <w:rPr>
          <w:rtl/>
        </w:rPr>
      </w:pPr>
      <w:r>
        <w:rPr>
          <w:rFonts w:hint="cs"/>
          <w:rtl/>
        </w:rPr>
        <w:t>1.</w:t>
      </w:r>
      <w:r>
        <w:rPr>
          <w:rFonts w:hint="cs"/>
          <w:rtl/>
        </w:rPr>
        <w:tab/>
        <w:t xml:space="preserve">ושוב נדרשים אנו ערב יום </w:t>
      </w:r>
      <w:r>
        <w:rPr>
          <w:rtl/>
        </w:rPr>
        <w:t xml:space="preserve">הזיכרון הקרוב לחללי מערכות ישראל ולנפגעי פעולות האיבה (להלן: </w:t>
      </w:r>
      <w:r>
        <w:rPr>
          <w:rFonts w:ascii="Century" w:hAnsi="Century" w:cs="Miriam"/>
          <w:b/>
          <w:spacing w:val="0"/>
          <w:szCs w:val="24"/>
          <w:rtl/>
        </w:rPr>
        <w:t>יום הזיכרון</w:t>
      </w:r>
      <w:r>
        <w:rPr>
          <w:rtl/>
        </w:rPr>
        <w:t>)</w:t>
      </w:r>
      <w:r>
        <w:rPr>
          <w:rFonts w:hint="cs"/>
          <w:rtl/>
        </w:rPr>
        <w:t xml:space="preserve">, לאיסור שהטיל שר הביטחון על כניסתם של </w:t>
      </w:r>
      <w:r>
        <w:rPr>
          <w:rtl/>
        </w:rPr>
        <w:t xml:space="preserve">פלסטינים תושבי </w:t>
      </w:r>
      <w:proofErr w:type="spellStart"/>
      <w:r>
        <w:rPr>
          <w:rtl/>
        </w:rPr>
        <w:t>איו"ש</w:t>
      </w:r>
      <w:proofErr w:type="spellEnd"/>
      <w:r>
        <w:rPr>
          <w:rtl/>
        </w:rPr>
        <w:t xml:space="preserve"> (להלן: </w:t>
      </w:r>
      <w:r>
        <w:rPr>
          <w:rFonts w:ascii="Century" w:hAnsi="Century" w:cs="Miriam"/>
          <w:b/>
          <w:spacing w:val="0"/>
          <w:szCs w:val="24"/>
          <w:rtl/>
        </w:rPr>
        <w:t>האזור</w:t>
      </w:r>
      <w:r>
        <w:rPr>
          <w:rtl/>
        </w:rPr>
        <w:t xml:space="preserve">) להיכנס לשטח ישראל על מנת להשתתף בטקס זיכרון משותף לישראלים ולפלסטינים (להלן: </w:t>
      </w:r>
      <w:r>
        <w:rPr>
          <w:rFonts w:ascii="Century" w:hAnsi="Century" w:cs="Miriam"/>
          <w:b/>
          <w:spacing w:val="0"/>
          <w:szCs w:val="24"/>
          <w:rtl/>
        </w:rPr>
        <w:t>הטקס</w:t>
      </w:r>
      <w:r>
        <w:rPr>
          <w:rtl/>
        </w:rPr>
        <w:t xml:space="preserve"> או </w:t>
      </w:r>
      <w:r>
        <w:rPr>
          <w:rFonts w:ascii="Century" w:hAnsi="Century" w:cs="Miriam"/>
          <w:b/>
          <w:spacing w:val="0"/>
          <w:szCs w:val="24"/>
          <w:rtl/>
        </w:rPr>
        <w:t>הטקס המשותף</w:t>
      </w:r>
      <w:r>
        <w:rPr>
          <w:rtl/>
        </w:rPr>
        <w:t>).</w:t>
      </w:r>
    </w:p>
    <w:p w14:paraId="2F8D4A75" w14:textId="77777777" w:rsidR="00B409AD" w:rsidRDefault="00B409AD" w:rsidP="0029092B">
      <w:pPr>
        <w:pStyle w:val="Ruller40"/>
        <w:spacing w:line="240" w:lineRule="auto"/>
        <w:rPr>
          <w:rtl/>
        </w:rPr>
      </w:pPr>
    </w:p>
    <w:p w14:paraId="5A6E3967" w14:textId="19D1BD61" w:rsidR="00B409AD" w:rsidRDefault="00B409AD" w:rsidP="009843C2">
      <w:pPr>
        <w:pStyle w:val="Ruller40"/>
        <w:rPr>
          <w:rtl/>
        </w:rPr>
      </w:pPr>
      <w:r>
        <w:rPr>
          <w:rFonts w:hint="cs"/>
          <w:rtl/>
        </w:rPr>
        <w:t>2.</w:t>
      </w:r>
      <w:r>
        <w:rPr>
          <w:rFonts w:hint="cs"/>
          <w:rtl/>
        </w:rPr>
        <w:tab/>
        <w:t xml:space="preserve">הטקס המשותף קבוע ליום שני </w:t>
      </w:r>
      <w:r w:rsidR="00035DC3">
        <w:rPr>
          <w:rFonts w:hint="cs"/>
          <w:rtl/>
        </w:rPr>
        <w:t>24</w:t>
      </w:r>
      <w:r>
        <w:rPr>
          <w:rFonts w:hint="cs"/>
          <w:rtl/>
        </w:rPr>
        <w:t xml:space="preserve">.4.2023, ערב יום הזיכרון. העותר 2 פנה אל המשיבים כבר ביום 20.3.2023 בבקשה למתן אישור לכניסת 169 פלסטינים אך לא קיבל מענה לפנייתו. משכך, </w:t>
      </w:r>
      <w:r>
        <w:rPr>
          <w:rFonts w:hint="cs"/>
          <w:rtl/>
        </w:rPr>
        <w:lastRenderedPageBreak/>
        <w:t xml:space="preserve">פנתה העותרת 1 ביום 2.4.2023 אל המשיבים בבקשה להיתר כניסה ל-12 פלסטינים, והמשיב 3 אישר ביום 17.4.2023 כניסתם של עשרה </w:t>
      </w:r>
      <w:r w:rsidRPr="0095326B">
        <w:rPr>
          <w:rFonts w:hint="cs"/>
          <w:rtl/>
        </w:rPr>
        <w:t>מהם.</w:t>
      </w:r>
      <w:r>
        <w:rPr>
          <w:rFonts w:hint="cs"/>
          <w:rtl/>
        </w:rPr>
        <w:t xml:space="preserve"> ביום 13.4.2023 הודיע שר הביטחון באמצעי התקשורת כי הורה לאסור על כניסתם של הפלסטינים שהוזמנו לטקס באופן גורף. משכך, פנו העותרים במכתב למשיבים בבקשה להתיר את כניסת הפלסטינים לטקס, ומשלא נענתה פנייתם, הוגשה העתירה דכאן. </w:t>
      </w:r>
    </w:p>
    <w:p w14:paraId="519D0885" w14:textId="77777777" w:rsidR="00B409AD" w:rsidRDefault="00B409AD" w:rsidP="0058350C">
      <w:pPr>
        <w:pStyle w:val="Ruller40"/>
        <w:spacing w:line="240" w:lineRule="auto"/>
        <w:rPr>
          <w:rtl/>
        </w:rPr>
      </w:pPr>
    </w:p>
    <w:p w14:paraId="105CC9EF" w14:textId="386AB2A5" w:rsidR="00B409AD" w:rsidRDefault="00B409AD" w:rsidP="001E619C">
      <w:pPr>
        <w:pStyle w:val="Ruller40"/>
        <w:rPr>
          <w:rtl/>
        </w:rPr>
      </w:pPr>
      <w:r>
        <w:rPr>
          <w:rtl/>
        </w:rPr>
        <w:tab/>
      </w:r>
      <w:r>
        <w:rPr>
          <w:rFonts w:hint="cs"/>
          <w:rtl/>
        </w:rPr>
        <w:t>העתירה הוגשה ביום חמישי 19.4.2023, הדיון בפנינו נקבע ליום ראשון 2</w:t>
      </w:r>
      <w:r w:rsidR="001E619C">
        <w:rPr>
          <w:rFonts w:hint="cs"/>
          <w:rtl/>
        </w:rPr>
        <w:t>3</w:t>
      </w:r>
      <w:r>
        <w:rPr>
          <w:rFonts w:hint="cs"/>
          <w:rtl/>
        </w:rPr>
        <w:t>.4.2023, ומכאן סד הזמנים הדוחק, כאשר יום הזיכרון כבר מתדפק על דלתותינו.</w:t>
      </w:r>
    </w:p>
    <w:p w14:paraId="52BB93B7" w14:textId="77777777" w:rsidR="00B409AD" w:rsidRDefault="00B409AD" w:rsidP="00B409AD">
      <w:pPr>
        <w:pStyle w:val="Ruller40"/>
        <w:rPr>
          <w:rtl/>
        </w:rPr>
      </w:pPr>
    </w:p>
    <w:p w14:paraId="011EAEAC" w14:textId="77777777" w:rsidR="00B409AD" w:rsidRDefault="00B409AD" w:rsidP="00B409AD">
      <w:pPr>
        <w:pStyle w:val="Ruller40"/>
        <w:rPr>
          <w:highlight w:val="lightGray"/>
          <w:rtl/>
        </w:rPr>
      </w:pPr>
      <w:r>
        <w:rPr>
          <w:rFonts w:hint="cs"/>
          <w:rtl/>
        </w:rPr>
        <w:t>3.</w:t>
      </w:r>
      <w:r>
        <w:rPr>
          <w:rFonts w:hint="cs"/>
          <w:rtl/>
        </w:rPr>
        <w:tab/>
      </w:r>
      <w:r>
        <w:rPr>
          <w:rtl/>
        </w:rPr>
        <w:t>הטקס המשותף נערך בישראל מזה 1</w:t>
      </w:r>
      <w:r>
        <w:rPr>
          <w:rFonts w:hint="cs"/>
          <w:rtl/>
        </w:rPr>
        <w:t>7</w:t>
      </w:r>
      <w:r>
        <w:rPr>
          <w:rtl/>
        </w:rPr>
        <w:t xml:space="preserve"> שנים</w:t>
      </w:r>
      <w:r>
        <w:rPr>
          <w:rFonts w:hint="cs"/>
          <w:rtl/>
        </w:rPr>
        <w:t xml:space="preserve">, כאשר בשנים 2022-2020 התקיים הטקס באופן וירטואלי בשל מגפת הקורונה. </w:t>
      </w:r>
    </w:p>
    <w:p w14:paraId="111FB223" w14:textId="77777777" w:rsidR="00B409AD" w:rsidRDefault="00B409AD" w:rsidP="0058350C">
      <w:pPr>
        <w:pStyle w:val="Ruller40"/>
        <w:spacing w:line="240" w:lineRule="auto"/>
        <w:rPr>
          <w:rtl/>
        </w:rPr>
      </w:pPr>
    </w:p>
    <w:p w14:paraId="08019E4B" w14:textId="77777777" w:rsidR="00B409AD" w:rsidRDefault="00B409AD" w:rsidP="00B409AD">
      <w:pPr>
        <w:pStyle w:val="Ruller40"/>
        <w:rPr>
          <w:rtl/>
        </w:rPr>
      </w:pPr>
      <w:r>
        <w:rPr>
          <w:rtl/>
        </w:rPr>
        <w:lastRenderedPageBreak/>
        <w:tab/>
      </w:r>
      <w:r>
        <w:rPr>
          <w:rFonts w:hint="cs"/>
          <w:rtl/>
        </w:rPr>
        <w:t xml:space="preserve">בשנים 2018 ו-2019 </w:t>
      </w:r>
      <w:r>
        <w:rPr>
          <w:rtl/>
        </w:rPr>
        <w:t>החליט</w:t>
      </w:r>
      <w:r>
        <w:rPr>
          <w:rFonts w:hint="cs"/>
          <w:rtl/>
        </w:rPr>
        <w:t>ו</w:t>
      </w:r>
      <w:r>
        <w:rPr>
          <w:rtl/>
        </w:rPr>
        <w:t xml:space="preserve"> שר</w:t>
      </w:r>
      <w:r>
        <w:rPr>
          <w:rFonts w:hint="cs"/>
          <w:rtl/>
        </w:rPr>
        <w:t>י</w:t>
      </w:r>
      <w:r>
        <w:rPr>
          <w:rtl/>
        </w:rPr>
        <w:t xml:space="preserve"> הביטחון שלא לאפשר לפלסטינים המוזמנים לטקס להיכנס לתחומי מדינת ישראל</w:t>
      </w:r>
      <w:r>
        <w:rPr>
          <w:rFonts w:hint="cs"/>
          <w:rtl/>
        </w:rPr>
        <w:t>, במה שנחזה כשינוי במדיניות ששררה עד לאותו מועד. בשנת 2018 נומק הסירוב ב</w:t>
      </w:r>
      <w:r>
        <w:rPr>
          <w:rtl/>
        </w:rPr>
        <w:t>טעם של פגיעה ברגשות הציבור בישראל ובמשפחות שכולות</w:t>
      </w:r>
      <w:r>
        <w:rPr>
          <w:rFonts w:hint="cs"/>
          <w:rtl/>
        </w:rPr>
        <w:t xml:space="preserve">. עתירה שהוגשה לבית משפט זה כנגד החלטת שר הביטחון התקבלה פה אחד </w:t>
      </w:r>
      <w:r>
        <w:rPr>
          <w:rtl/>
        </w:rPr>
        <w:t>(</w:t>
      </w:r>
      <w:r w:rsidRPr="00304FE7">
        <w:rPr>
          <w:rFonts w:ascii="Century" w:hAnsi="Century"/>
          <w:rtl/>
        </w:rPr>
        <w:t>בג"</w:t>
      </w:r>
      <w:r>
        <w:rPr>
          <w:rFonts w:ascii="Century" w:hAnsi="Century" w:hint="cs"/>
          <w:rtl/>
        </w:rPr>
        <w:t xml:space="preserve">ץ </w:t>
      </w:r>
      <w:r w:rsidRPr="00304FE7">
        <w:rPr>
          <w:rFonts w:ascii="Century" w:hAnsi="Century"/>
          <w:rtl/>
        </w:rPr>
        <w:t>2964/18</w:t>
      </w:r>
      <w:r>
        <w:rPr>
          <w:rtl/>
        </w:rPr>
        <w:t xml:space="preserve"> </w:t>
      </w:r>
      <w:r>
        <w:rPr>
          <w:rFonts w:ascii="Century" w:hAnsi="Century" w:cs="Miriam"/>
          <w:b/>
          <w:spacing w:val="0"/>
          <w:szCs w:val="24"/>
          <w:rtl/>
        </w:rPr>
        <w:t>חוג ההורים פורום המשפחות, משפחות שכולות למען שלום נ' שר הביטחון</w:t>
      </w:r>
      <w:r>
        <w:rPr>
          <w:rtl/>
        </w:rPr>
        <w:t xml:space="preserve"> (17.4.2018) (להלן: </w:t>
      </w:r>
      <w:r>
        <w:rPr>
          <w:rFonts w:ascii="Century" w:hAnsi="Century" w:cs="Miriam"/>
          <w:b/>
          <w:spacing w:val="0"/>
          <w:szCs w:val="24"/>
          <w:rtl/>
        </w:rPr>
        <w:t>העתירה ה</w:t>
      </w:r>
      <w:r>
        <w:rPr>
          <w:rFonts w:ascii="Century" w:hAnsi="Century" w:cs="Miriam" w:hint="cs"/>
          <w:b/>
          <w:spacing w:val="0"/>
          <w:szCs w:val="24"/>
          <w:rtl/>
        </w:rPr>
        <w:t>ראשונה</w:t>
      </w:r>
      <w:r>
        <w:rPr>
          <w:rtl/>
        </w:rPr>
        <w:t>)</w:t>
      </w:r>
      <w:r>
        <w:rPr>
          <w:rFonts w:hint="cs"/>
          <w:rtl/>
        </w:rPr>
        <w:t>)</w:t>
      </w:r>
      <w:r>
        <w:rPr>
          <w:rtl/>
        </w:rPr>
        <w:t xml:space="preserve">. </w:t>
      </w:r>
      <w:r>
        <w:rPr>
          <w:rFonts w:hint="cs"/>
          <w:rtl/>
        </w:rPr>
        <w:t xml:space="preserve">בשנת 2019 נומק הסירוב על ידי </w:t>
      </w:r>
      <w:r>
        <w:rPr>
          <w:rFonts w:ascii="Century" w:hAnsi="Century"/>
          <w:rtl/>
        </w:rPr>
        <w:t xml:space="preserve">שר הביטחון </w:t>
      </w:r>
      <w:r>
        <w:rPr>
          <w:rFonts w:ascii="Century" w:hAnsi="Century" w:hint="cs"/>
          <w:rtl/>
        </w:rPr>
        <w:t xml:space="preserve">בסגר המוטל בערב יום הזיכרון ועל רקע ההחרפה החמורה במצב הביטחוני. עתירה שהוגשה לבית משפט זה </w:t>
      </w:r>
      <w:r>
        <w:rPr>
          <w:rFonts w:hint="cs"/>
          <w:rtl/>
        </w:rPr>
        <w:t>כנגד החלטת שר הביטחון התקבלה פה אחד (</w:t>
      </w:r>
      <w:r>
        <w:rPr>
          <w:rFonts w:ascii="Century" w:hAnsi="Century" w:hint="cs"/>
          <w:rtl/>
        </w:rPr>
        <w:t xml:space="preserve">בג"ץ 3052/19 </w:t>
      </w:r>
      <w:r w:rsidRPr="00304FE7">
        <w:rPr>
          <w:rFonts w:ascii="Century" w:hAnsi="Century" w:cs="Miriam" w:hint="cs"/>
          <w:b/>
          <w:spacing w:val="0"/>
          <w:szCs w:val="24"/>
          <w:rtl/>
        </w:rPr>
        <w:t>לוחמים לשלום נ' שר הביטחון</w:t>
      </w:r>
      <w:r w:rsidRPr="00304FE7">
        <w:rPr>
          <w:rFonts w:ascii="Century" w:hAnsi="Century" w:hint="cs"/>
          <w:rtl/>
        </w:rPr>
        <w:t xml:space="preserve"> </w:t>
      </w:r>
      <w:r>
        <w:rPr>
          <w:rFonts w:ascii="Century" w:hAnsi="Century" w:hint="cs"/>
          <w:rtl/>
        </w:rPr>
        <w:t xml:space="preserve">(6.5.2019) (להלן: </w:t>
      </w:r>
      <w:r w:rsidRPr="00304FE7">
        <w:rPr>
          <w:rFonts w:ascii="Century" w:hAnsi="Century" w:cs="Miriam" w:hint="cs"/>
          <w:b/>
          <w:spacing w:val="0"/>
          <w:szCs w:val="24"/>
          <w:rtl/>
        </w:rPr>
        <w:t>העתירה השנייה</w:t>
      </w:r>
      <w:r>
        <w:rPr>
          <w:rFonts w:ascii="Century" w:hAnsi="Century" w:hint="cs"/>
          <w:rtl/>
        </w:rPr>
        <w:t xml:space="preserve">)). </w:t>
      </w:r>
    </w:p>
    <w:p w14:paraId="41225D5A" w14:textId="77777777" w:rsidR="00B409AD" w:rsidRDefault="00B409AD" w:rsidP="00B409AD">
      <w:pPr>
        <w:pStyle w:val="Ruller40"/>
        <w:rPr>
          <w:rtl/>
        </w:rPr>
      </w:pPr>
    </w:p>
    <w:p w14:paraId="5E642D6F" w14:textId="56028EB1" w:rsidR="00B409AD" w:rsidRDefault="00B409AD" w:rsidP="00B409AD">
      <w:pPr>
        <w:pStyle w:val="Ruller40"/>
        <w:rPr>
          <w:rtl/>
        </w:rPr>
      </w:pPr>
      <w:r>
        <w:rPr>
          <w:rFonts w:hint="cs"/>
          <w:rtl/>
        </w:rPr>
        <w:lastRenderedPageBreak/>
        <w:t>4.</w:t>
      </w:r>
      <w:r>
        <w:rPr>
          <w:rFonts w:hint="cs"/>
          <w:rtl/>
        </w:rPr>
        <w:tab/>
        <w:t xml:space="preserve">העותרים תמכו יתדותיהם בפסקי הדין בעתירות הקודמות וההנמקות שם, וטענו, בין היתר, כי האיסור </w:t>
      </w:r>
      <w:r w:rsidR="009843C2">
        <w:rPr>
          <w:rFonts w:hint="cs"/>
          <w:rtl/>
        </w:rPr>
        <w:t xml:space="preserve">הגורף </w:t>
      </w:r>
      <w:r>
        <w:rPr>
          <w:rFonts w:hint="cs"/>
          <w:rtl/>
        </w:rPr>
        <w:t>שהטיל שר הביטחון עומד בניגוד למדיניות שנהגה שנים רבות; וכי מהסגר מוחרגים ממילא אלפי פלסטינים.</w:t>
      </w:r>
    </w:p>
    <w:p w14:paraId="442FD47D" w14:textId="77777777" w:rsidR="00B409AD" w:rsidRDefault="00B409AD" w:rsidP="00B409AD">
      <w:pPr>
        <w:pStyle w:val="Ruller40"/>
        <w:rPr>
          <w:rtl/>
        </w:rPr>
      </w:pPr>
    </w:p>
    <w:p w14:paraId="79F79F17" w14:textId="77777777" w:rsidR="00B409AD" w:rsidRDefault="00B409AD" w:rsidP="00B409AD">
      <w:pPr>
        <w:pStyle w:val="Ruller40"/>
        <w:rPr>
          <w:rtl/>
        </w:rPr>
      </w:pPr>
      <w:r>
        <w:rPr>
          <w:rFonts w:hint="cs"/>
          <w:rtl/>
        </w:rPr>
        <w:t>5.</w:t>
      </w:r>
      <w:r>
        <w:rPr>
          <w:rFonts w:hint="cs"/>
          <w:rtl/>
        </w:rPr>
        <w:tab/>
        <w:t xml:space="preserve">עמדתם של המשיבים, המיוצגים על ידי הייעוץ המשפטי לממשלה, </w:t>
      </w:r>
      <w:r w:rsidRPr="00A706D8">
        <w:rPr>
          <w:rFonts w:ascii="Century" w:hAnsi="Century" w:cs="Miriam" w:hint="cs"/>
          <w:b/>
          <w:spacing w:val="0"/>
          <w:szCs w:val="24"/>
          <w:rtl/>
        </w:rPr>
        <w:t>תומכת</w:t>
      </w:r>
      <w:r>
        <w:rPr>
          <w:rFonts w:hint="cs"/>
          <w:rtl/>
        </w:rPr>
        <w:t xml:space="preserve"> בעתירה, לאור פסקי הדין בעתירה הראשונה והשנייה. עמדה זו הובאה בפני שר הביטחון עובר להגשת תגובת המשיבים, אך למרות זאת, הוא לא מצא לשנות מהחלטתו. </w:t>
      </w:r>
    </w:p>
    <w:p w14:paraId="2B9F33D6" w14:textId="77777777" w:rsidR="00B409AD" w:rsidRDefault="00B409AD" w:rsidP="0058350C">
      <w:pPr>
        <w:pStyle w:val="Ruller40"/>
        <w:spacing w:line="240" w:lineRule="auto"/>
        <w:rPr>
          <w:rtl/>
        </w:rPr>
      </w:pPr>
    </w:p>
    <w:p w14:paraId="15946399" w14:textId="017E6612" w:rsidR="00B409AD" w:rsidRDefault="00B409AD" w:rsidP="007263ED">
      <w:pPr>
        <w:pStyle w:val="Ruller40"/>
        <w:rPr>
          <w:rtl/>
        </w:rPr>
      </w:pPr>
      <w:r>
        <w:rPr>
          <w:rtl/>
        </w:rPr>
        <w:tab/>
      </w:r>
      <w:r>
        <w:rPr>
          <w:rFonts w:hint="cs"/>
          <w:rtl/>
        </w:rPr>
        <w:t xml:space="preserve">המשיבים עמדו על כך שלא הוצגה תשתית מקצועית-עובדתית שיש בה כדי להצביע על שינוי נסיבות באופן המצדיק </w:t>
      </w:r>
      <w:proofErr w:type="spellStart"/>
      <w:r>
        <w:rPr>
          <w:rFonts w:hint="cs"/>
          <w:rtl/>
        </w:rPr>
        <w:t>סטיה</w:t>
      </w:r>
      <w:proofErr w:type="spellEnd"/>
      <w:r>
        <w:rPr>
          <w:rFonts w:hint="cs"/>
          <w:rtl/>
        </w:rPr>
        <w:t xml:space="preserve"> מהמתווה שנקבע בשני פסקי דין אלה. מתאם פעולות הממשלה בשטחים (להלן: </w:t>
      </w:r>
      <w:proofErr w:type="spellStart"/>
      <w:r w:rsidRPr="00A706D8">
        <w:rPr>
          <w:rFonts w:ascii="Century" w:hAnsi="Century" w:cs="Miriam" w:hint="cs"/>
          <w:b/>
          <w:spacing w:val="0"/>
          <w:szCs w:val="24"/>
          <w:rtl/>
        </w:rPr>
        <w:t>המתפ"ש</w:t>
      </w:r>
      <w:proofErr w:type="spellEnd"/>
      <w:r>
        <w:rPr>
          <w:rFonts w:hint="cs"/>
          <w:rtl/>
        </w:rPr>
        <w:t xml:space="preserve">) המליץ אף הוא, בשים לב לניסיון העבר בסוגיה, לאשר את בקשתם של העותרים. זאת, </w:t>
      </w:r>
      <w:r>
        <w:rPr>
          <w:rFonts w:hint="cs"/>
          <w:rtl/>
        </w:rPr>
        <w:lastRenderedPageBreak/>
        <w:t xml:space="preserve">לאחר שבחן את רשימת 169 הפלסטינים שהוזמנו, ומצא כי 56 מהם הם מבוגרים בני למעלה מ-50; 4 הם קטינים; 70 הם בעלי היתר כניסה לישראל; ו-10 הם מנועי כניסה ולכן </w:t>
      </w:r>
      <w:proofErr w:type="spellStart"/>
      <w:r>
        <w:rPr>
          <w:rFonts w:hint="cs"/>
          <w:rtl/>
        </w:rPr>
        <w:t>תסורב</w:t>
      </w:r>
      <w:proofErr w:type="spellEnd"/>
      <w:r>
        <w:rPr>
          <w:rFonts w:hint="cs"/>
          <w:rtl/>
        </w:rPr>
        <w:t xml:space="preserve"> כניסתם (האישור הספציפי שניתן ביום 17.4.2023 לכניסתם של 10 פלסטינים לאור פניית העות</w:t>
      </w:r>
      <w:r w:rsidR="007263ED">
        <w:rPr>
          <w:rFonts w:hint="cs"/>
          <w:rtl/>
        </w:rPr>
        <w:t>ר 1</w:t>
      </w:r>
      <w:r>
        <w:rPr>
          <w:rFonts w:hint="cs"/>
          <w:rtl/>
        </w:rPr>
        <w:t>, בוטל לאחר הגשת העתירה</w:t>
      </w:r>
      <w:r w:rsidR="009843C2">
        <w:rPr>
          <w:rFonts w:hint="cs"/>
          <w:rtl/>
        </w:rPr>
        <w:t>,</w:t>
      </w:r>
      <w:r>
        <w:rPr>
          <w:rFonts w:hint="cs"/>
          <w:rtl/>
        </w:rPr>
        <w:t xml:space="preserve"> משהתברר כי ניתן בטעות).</w:t>
      </w:r>
    </w:p>
    <w:p w14:paraId="78BDA9AA" w14:textId="77777777" w:rsidR="00B409AD" w:rsidRDefault="00B409AD" w:rsidP="0058350C">
      <w:pPr>
        <w:pStyle w:val="Ruller40"/>
        <w:spacing w:line="240" w:lineRule="auto"/>
        <w:rPr>
          <w:rtl/>
        </w:rPr>
      </w:pPr>
    </w:p>
    <w:p w14:paraId="1F22CABB" w14:textId="62310824" w:rsidR="00B409AD" w:rsidRDefault="00B409AD" w:rsidP="009843C2">
      <w:pPr>
        <w:pStyle w:val="Ruller40"/>
        <w:rPr>
          <w:rtl/>
        </w:rPr>
      </w:pPr>
      <w:r>
        <w:rPr>
          <w:rtl/>
        </w:rPr>
        <w:tab/>
      </w:r>
      <w:r>
        <w:rPr>
          <w:rFonts w:hint="cs"/>
          <w:rtl/>
        </w:rPr>
        <w:t xml:space="preserve">לשכת שר הביטחון ביקשה </w:t>
      </w:r>
      <w:proofErr w:type="spellStart"/>
      <w:r>
        <w:rPr>
          <w:rFonts w:hint="cs"/>
          <w:rtl/>
        </w:rPr>
        <w:t>ממתפ"ש</w:t>
      </w:r>
      <w:proofErr w:type="spellEnd"/>
      <w:r>
        <w:rPr>
          <w:rFonts w:hint="cs"/>
          <w:rtl/>
        </w:rPr>
        <w:t xml:space="preserve"> פירוט של החריגים לסגר ביום הזיכרון; האם היקף החריגים צומצם לנוכח המצב הביטחוני; והאם בעלי ההיתרים מבין המבקשים רשאים להיכנס חרף הסגר. על פנייה זו השיב </w:t>
      </w:r>
      <w:proofErr w:type="spellStart"/>
      <w:r>
        <w:rPr>
          <w:rFonts w:hint="cs"/>
          <w:rtl/>
        </w:rPr>
        <w:t>המתפ"ש</w:t>
      </w:r>
      <w:proofErr w:type="spellEnd"/>
      <w:r>
        <w:rPr>
          <w:rFonts w:hint="cs"/>
          <w:rtl/>
        </w:rPr>
        <w:t xml:space="preserve"> כי ככלל, בתקופת הסגר, תוקפם של כלל היתרי הכניסה </w:t>
      </w:r>
      <w:proofErr w:type="spellStart"/>
      <w:r>
        <w:rPr>
          <w:rFonts w:hint="cs"/>
          <w:rtl/>
        </w:rPr>
        <w:t>מותלה</w:t>
      </w:r>
      <w:proofErr w:type="spellEnd"/>
      <w:r>
        <w:rPr>
          <w:rFonts w:hint="cs"/>
          <w:rtl/>
        </w:rPr>
        <w:t xml:space="preserve">, למעט אוכלוסיות הומניטריות ייחודיות וכן אוכלוסיות החיוניות להמשך התפקוד התקין של המשק. רשימה ארוכה זו כוללת, בין היתר, כאלה העוסקים בתחום הבריאות והסיעוד, אנשי תקשורת, דת וחינוך; </w:t>
      </w:r>
      <w:r>
        <w:rPr>
          <w:rFonts w:hint="cs"/>
          <w:rtl/>
        </w:rPr>
        <w:lastRenderedPageBreak/>
        <w:t>וצרכים הומניטריים כמו חתונה, צרכים</w:t>
      </w:r>
      <w:r w:rsidR="009843C2">
        <w:rPr>
          <w:rFonts w:hint="cs"/>
          <w:rtl/>
        </w:rPr>
        <w:t xml:space="preserve"> רפואיים ו</w:t>
      </w:r>
      <w:r>
        <w:rPr>
          <w:rFonts w:hint="cs"/>
          <w:rtl/>
        </w:rPr>
        <w:t>משפטיים, לוויה, חתונה</w:t>
      </w:r>
      <w:r w:rsidR="009843C2">
        <w:rPr>
          <w:rFonts w:hint="cs"/>
          <w:rtl/>
        </w:rPr>
        <w:t>,</w:t>
      </w:r>
      <w:r>
        <w:rPr>
          <w:rFonts w:hint="cs"/>
          <w:rtl/>
        </w:rPr>
        <w:t xml:space="preserve"> ועוד. השורה </w:t>
      </w:r>
      <w:r w:rsidR="007263ED">
        <w:rPr>
          <w:rFonts w:hint="cs"/>
          <w:rtl/>
        </w:rPr>
        <w:t>ה</w:t>
      </w:r>
      <w:r>
        <w:rPr>
          <w:rFonts w:hint="cs"/>
          <w:rtl/>
        </w:rPr>
        <w:t xml:space="preserve">תחתונה היא כי בהתאם לרשימה זו, יתאפשר לאלפי פלסטינים להיכנס לישראל במהלך ימי הסגר. </w:t>
      </w:r>
    </w:p>
    <w:p w14:paraId="14C83809" w14:textId="77777777" w:rsidR="00B409AD" w:rsidRDefault="00B409AD" w:rsidP="0058350C">
      <w:pPr>
        <w:pStyle w:val="Ruller40"/>
        <w:spacing w:line="240" w:lineRule="auto"/>
        <w:rPr>
          <w:rtl/>
        </w:rPr>
      </w:pPr>
    </w:p>
    <w:p w14:paraId="601A6B6A" w14:textId="77777777" w:rsidR="00B409AD" w:rsidRDefault="00B409AD" w:rsidP="00B409AD">
      <w:pPr>
        <w:pStyle w:val="Ruller40"/>
        <w:rPr>
          <w:rtl/>
        </w:rPr>
      </w:pPr>
      <w:r>
        <w:rPr>
          <w:rtl/>
        </w:rPr>
        <w:tab/>
      </w:r>
      <w:r>
        <w:rPr>
          <w:rFonts w:hint="cs"/>
          <w:rtl/>
        </w:rPr>
        <w:t xml:space="preserve">לא למותר לציין כי רשימה זהה או דומה עמדה </w:t>
      </w:r>
      <w:r w:rsidRPr="00A706D8">
        <w:rPr>
          <w:rFonts w:ascii="Century" w:hAnsi="Century" w:hint="cs"/>
          <w:rtl/>
        </w:rPr>
        <w:t xml:space="preserve">בפני בית משפט זה גם במהלך הדיון בעתירה </w:t>
      </w:r>
      <w:proofErr w:type="spellStart"/>
      <w:r w:rsidRPr="00A706D8">
        <w:rPr>
          <w:rFonts w:ascii="Century" w:hAnsi="Century" w:hint="cs"/>
          <w:rtl/>
        </w:rPr>
        <w:t>השניה</w:t>
      </w:r>
      <w:proofErr w:type="spellEnd"/>
      <w:r>
        <w:rPr>
          <w:rFonts w:ascii="Century" w:hAnsi="Century" w:hint="cs"/>
          <w:rtl/>
        </w:rPr>
        <w:t xml:space="preserve">. </w:t>
      </w:r>
      <w:r>
        <w:rPr>
          <w:rFonts w:hint="cs"/>
          <w:rtl/>
        </w:rPr>
        <w:t>לכך התייחסתי בסעיף 3 לפסק דיני בעתירה זו:</w:t>
      </w:r>
    </w:p>
    <w:p w14:paraId="7097998C" w14:textId="77777777" w:rsidR="00B409AD" w:rsidRDefault="00B409AD" w:rsidP="0058350C">
      <w:pPr>
        <w:pStyle w:val="Ruller5"/>
        <w:spacing w:line="360" w:lineRule="auto"/>
        <w:rPr>
          <w:rtl/>
        </w:rPr>
      </w:pPr>
    </w:p>
    <w:p w14:paraId="02EA7A1D" w14:textId="77777777" w:rsidR="00B409AD" w:rsidRDefault="00B409AD" w:rsidP="00B409AD">
      <w:pPr>
        <w:pStyle w:val="Ruller5"/>
        <w:rPr>
          <w:rtl/>
        </w:rPr>
      </w:pPr>
      <w:r>
        <w:rPr>
          <w:rFonts w:ascii="Century" w:hAnsi="Century" w:hint="cs"/>
          <w:rtl/>
        </w:rPr>
        <w:t>"</w:t>
      </w:r>
      <w:r>
        <w:rPr>
          <w:rFonts w:ascii="Century" w:hAnsi="Century"/>
          <w:rtl/>
        </w:rPr>
        <w:t xml:space="preserve">גם במהלך הסגר מוחרגים, כדוגמה בלבד, פועלים פלסטינים בהתיישבות הישראלית </w:t>
      </w:r>
      <w:proofErr w:type="spellStart"/>
      <w:r>
        <w:rPr>
          <w:rFonts w:ascii="Century" w:hAnsi="Century"/>
          <w:rtl/>
        </w:rPr>
        <w:t>באיו"ש</w:t>
      </w:r>
      <w:proofErr w:type="spellEnd"/>
      <w:r>
        <w:rPr>
          <w:rFonts w:ascii="Century" w:hAnsi="Century"/>
          <w:rtl/>
        </w:rPr>
        <w:t>, עובדי מוסדות סיעוד ועובדי משק בבתי חולים בישראל, ועוד רבים אחרים. על רקע רשימה זו, שכוללת אלפי בני אדם, אנו מתקשים לקבל את הטענה כי הסגר מונע מלכלול ברשימה זו עוד כמאה פלסטינים המבקשים להשתתף בטקס המשותף</w:t>
      </w:r>
      <w:r>
        <w:rPr>
          <w:rFonts w:ascii="Century" w:hAnsi="Century" w:hint="cs"/>
          <w:rtl/>
        </w:rPr>
        <w:t>"</w:t>
      </w:r>
      <w:r>
        <w:rPr>
          <w:rFonts w:ascii="Century" w:hAnsi="Century"/>
          <w:rtl/>
        </w:rPr>
        <w:t>.</w:t>
      </w:r>
    </w:p>
    <w:p w14:paraId="785B4D86" w14:textId="77777777" w:rsidR="00B409AD" w:rsidRDefault="00B409AD" w:rsidP="0029092B">
      <w:pPr>
        <w:pStyle w:val="Ruller5"/>
        <w:rPr>
          <w:rtl/>
        </w:rPr>
      </w:pPr>
    </w:p>
    <w:p w14:paraId="61BA0737" w14:textId="77777777" w:rsidR="00B409AD" w:rsidRDefault="00B409AD" w:rsidP="00B409AD">
      <w:pPr>
        <w:pStyle w:val="Ruller5"/>
        <w:rPr>
          <w:rtl/>
        </w:rPr>
      </w:pPr>
    </w:p>
    <w:p w14:paraId="38B3AB5D" w14:textId="77777777" w:rsidR="00B409AD" w:rsidRDefault="00B409AD" w:rsidP="00B409AD">
      <w:pPr>
        <w:pStyle w:val="Ruller40"/>
        <w:rPr>
          <w:rtl/>
        </w:rPr>
      </w:pPr>
      <w:r>
        <w:rPr>
          <w:rtl/>
        </w:rPr>
        <w:tab/>
      </w:r>
      <w:r>
        <w:rPr>
          <w:rFonts w:hint="cs"/>
          <w:rtl/>
        </w:rPr>
        <w:t xml:space="preserve">לנוכח פסק הדין בעתירה השנייה ולנוכח עמדת </w:t>
      </w:r>
      <w:proofErr w:type="spellStart"/>
      <w:r>
        <w:rPr>
          <w:rFonts w:hint="cs"/>
          <w:rtl/>
        </w:rPr>
        <w:t>המתפ"ש</w:t>
      </w:r>
      <w:proofErr w:type="spellEnd"/>
      <w:r>
        <w:rPr>
          <w:rFonts w:hint="cs"/>
          <w:rtl/>
        </w:rPr>
        <w:t xml:space="preserve">, עמדו המשיבים על כך </w:t>
      </w:r>
      <w:proofErr w:type="spellStart"/>
      <w:r>
        <w:rPr>
          <w:rFonts w:hint="cs"/>
          <w:rtl/>
        </w:rPr>
        <w:t>שבהינתן</w:t>
      </w:r>
      <w:proofErr w:type="spellEnd"/>
      <w:r>
        <w:rPr>
          <w:rFonts w:hint="cs"/>
          <w:rtl/>
        </w:rPr>
        <w:t xml:space="preserve"> ההחרגה של אלפי פלסטינים מהסגר, </w:t>
      </w:r>
      <w:r w:rsidRPr="00261150">
        <w:rPr>
          <w:rFonts w:ascii="Century" w:hAnsi="Century" w:cs="Miriam" w:hint="cs"/>
          <w:b/>
          <w:spacing w:val="0"/>
          <w:szCs w:val="24"/>
          <w:rtl/>
        </w:rPr>
        <w:t>אין הצדקה ביטחונית</w:t>
      </w:r>
      <w:r w:rsidRPr="00261150">
        <w:rPr>
          <w:rFonts w:hint="cs"/>
          <w:rtl/>
        </w:rPr>
        <w:t xml:space="preserve"> </w:t>
      </w:r>
      <w:r>
        <w:rPr>
          <w:rFonts w:hint="cs"/>
          <w:rtl/>
        </w:rPr>
        <w:t xml:space="preserve">למניעה גורפת של כניסתם של המוזמנים הפלסטינים המשתתפים בטקס. להשלמת התמונה, המשיבים ציינו כי במהלך החודש האחרון, התאפשרה כניסת תושבים פלסטינים </w:t>
      </w:r>
      <w:proofErr w:type="spellStart"/>
      <w:r>
        <w:rPr>
          <w:rFonts w:hint="cs"/>
          <w:rtl/>
        </w:rPr>
        <w:t>מאיו"ש</w:t>
      </w:r>
      <w:proofErr w:type="spellEnd"/>
      <w:r>
        <w:rPr>
          <w:rFonts w:hint="cs"/>
          <w:rtl/>
        </w:rPr>
        <w:t xml:space="preserve"> לישראל לרגל חג הרמדאן, כך שבימי שישי בתקופת החג נכנסו עשרות אלפי אנשים כמפורט בתגובה. באחד מימי השישי עמד המספר על למעלה ממאה אלף איש, ביום 17.4.2023 נכנסו כמאה אלף איש מתושבי האזור לרגל "לילת אל-קאדר", ובמהלך הסגר שהתקיים בחג הפסח נכנסו לישראל אלפי תושבי </w:t>
      </w:r>
      <w:proofErr w:type="spellStart"/>
      <w:r>
        <w:rPr>
          <w:rFonts w:hint="cs"/>
          <w:rtl/>
        </w:rPr>
        <w:t>איו"ש</w:t>
      </w:r>
      <w:proofErr w:type="spellEnd"/>
      <w:r>
        <w:rPr>
          <w:rFonts w:hint="cs"/>
          <w:rtl/>
        </w:rPr>
        <w:t xml:space="preserve"> פלסטינים.</w:t>
      </w:r>
    </w:p>
    <w:p w14:paraId="5FC1D537" w14:textId="77777777" w:rsidR="00B409AD" w:rsidRDefault="00B409AD" w:rsidP="0058350C">
      <w:pPr>
        <w:pStyle w:val="Ruller40"/>
        <w:spacing w:line="240" w:lineRule="auto"/>
        <w:rPr>
          <w:rtl/>
        </w:rPr>
      </w:pPr>
    </w:p>
    <w:p w14:paraId="2A1D954B" w14:textId="506408FB" w:rsidR="00B409AD" w:rsidRDefault="00B409AD" w:rsidP="00B409AD">
      <w:pPr>
        <w:pStyle w:val="Ruller40"/>
        <w:rPr>
          <w:rtl/>
        </w:rPr>
      </w:pPr>
      <w:r>
        <w:rPr>
          <w:rtl/>
        </w:rPr>
        <w:tab/>
      </w:r>
      <w:r>
        <w:rPr>
          <w:rFonts w:hint="cs"/>
          <w:rtl/>
        </w:rPr>
        <w:t>על רקע האמור לעיל, על רקע פסקי הדין בעתירות הקודמות</w:t>
      </w:r>
      <w:r w:rsidR="009843C2">
        <w:rPr>
          <w:rFonts w:hint="cs"/>
          <w:rtl/>
        </w:rPr>
        <w:t>,</w:t>
      </w:r>
      <w:r>
        <w:rPr>
          <w:rFonts w:hint="cs"/>
          <w:rtl/>
        </w:rPr>
        <w:t xml:space="preserve"> ובמיוחד פסק הדין בעתירה השנייה, ומשלא הוצגה תשתית מקצועית-עובדתית שיש בה כדי להצדיק </w:t>
      </w:r>
      <w:proofErr w:type="spellStart"/>
      <w:r>
        <w:rPr>
          <w:rFonts w:hint="cs"/>
          <w:rtl/>
        </w:rPr>
        <w:t>סטיה</w:t>
      </w:r>
      <w:proofErr w:type="spellEnd"/>
      <w:r>
        <w:rPr>
          <w:rFonts w:hint="cs"/>
          <w:rtl/>
        </w:rPr>
        <w:t xml:space="preserve"> מפסקי הדין הקודמים, עמדת הייעוץ המשפטי לממשלה היא כי יש לאפשר את כניסת המוזמנים הפלסטינים לטקס המשותף, בכפוף לבדיקה פרטנית כי לא קיימת מניעה ביטחונית לגבי מי מהם. </w:t>
      </w:r>
    </w:p>
    <w:p w14:paraId="4BF530D1" w14:textId="77777777" w:rsidR="00B409AD" w:rsidRDefault="00B409AD" w:rsidP="0058350C">
      <w:pPr>
        <w:pStyle w:val="Ruller40"/>
        <w:spacing w:line="240" w:lineRule="auto"/>
        <w:rPr>
          <w:rtl/>
        </w:rPr>
      </w:pPr>
    </w:p>
    <w:p w14:paraId="5CC7A373" w14:textId="755248A0" w:rsidR="005904A1" w:rsidRDefault="00B409AD" w:rsidP="009843C2">
      <w:pPr>
        <w:pStyle w:val="Ruller40"/>
        <w:rPr>
          <w:rtl/>
        </w:rPr>
      </w:pPr>
      <w:r>
        <w:rPr>
          <w:rtl/>
        </w:rPr>
        <w:tab/>
      </w:r>
      <w:r w:rsidRPr="005904A1">
        <w:rPr>
          <w:rFonts w:hint="eastAsia"/>
          <w:rtl/>
        </w:rPr>
        <w:t>ערב</w:t>
      </w:r>
      <w:r w:rsidRPr="005904A1">
        <w:rPr>
          <w:rtl/>
        </w:rPr>
        <w:t xml:space="preserve"> הדיון </w:t>
      </w:r>
      <w:r w:rsidRPr="005904A1">
        <w:rPr>
          <w:rFonts w:hint="eastAsia"/>
          <w:rtl/>
        </w:rPr>
        <w:t>הוגשה</w:t>
      </w:r>
      <w:r w:rsidRPr="005904A1">
        <w:rPr>
          <w:rtl/>
        </w:rPr>
        <w:t xml:space="preserve"> בקשה </w:t>
      </w:r>
      <w:r w:rsidRPr="005904A1">
        <w:rPr>
          <w:rFonts w:hint="eastAsia"/>
          <w:rtl/>
        </w:rPr>
        <w:t>מטעם</w:t>
      </w:r>
      <w:r w:rsidRPr="005904A1">
        <w:rPr>
          <w:rtl/>
        </w:rPr>
        <w:t xml:space="preserve"> </w:t>
      </w:r>
      <w:r w:rsidRPr="005904A1">
        <w:rPr>
          <w:rFonts w:hint="eastAsia"/>
          <w:rtl/>
        </w:rPr>
        <w:t>ארגון</w:t>
      </w:r>
      <w:r w:rsidRPr="005904A1">
        <w:rPr>
          <w:rtl/>
        </w:rPr>
        <w:t xml:space="preserve"> </w:t>
      </w:r>
      <w:r w:rsidRPr="005904A1">
        <w:rPr>
          <w:rFonts w:hint="eastAsia"/>
          <w:rtl/>
        </w:rPr>
        <w:t>בשם</w:t>
      </w:r>
      <w:r w:rsidRPr="005904A1">
        <w:rPr>
          <w:rtl/>
        </w:rPr>
        <w:t xml:space="preserve"> "בחרנו </w:t>
      </w:r>
      <w:r w:rsidRPr="005904A1">
        <w:rPr>
          <w:rFonts w:hint="eastAsia"/>
          <w:rtl/>
        </w:rPr>
        <w:t>בחיים</w:t>
      </w:r>
      <w:r w:rsidRPr="005904A1">
        <w:rPr>
          <w:rtl/>
        </w:rPr>
        <w:t xml:space="preserve">! </w:t>
      </w:r>
      <w:r w:rsidRPr="005904A1">
        <w:rPr>
          <w:rFonts w:hint="eastAsia"/>
          <w:rtl/>
        </w:rPr>
        <w:t>משפחות</w:t>
      </w:r>
      <w:r w:rsidRPr="005904A1">
        <w:rPr>
          <w:rtl/>
        </w:rPr>
        <w:t xml:space="preserve"> </w:t>
      </w:r>
      <w:r w:rsidRPr="005904A1">
        <w:rPr>
          <w:rFonts w:hint="eastAsia"/>
          <w:rtl/>
        </w:rPr>
        <w:t>שכולות</w:t>
      </w:r>
      <w:r w:rsidRPr="005904A1">
        <w:rPr>
          <w:rtl/>
        </w:rPr>
        <w:t xml:space="preserve"> </w:t>
      </w:r>
      <w:r w:rsidRPr="005904A1">
        <w:rPr>
          <w:rFonts w:hint="eastAsia"/>
          <w:rtl/>
        </w:rPr>
        <w:t>ונפגעי</w:t>
      </w:r>
      <w:r w:rsidRPr="005904A1">
        <w:rPr>
          <w:rtl/>
        </w:rPr>
        <w:t xml:space="preserve"> </w:t>
      </w:r>
      <w:r w:rsidRPr="005904A1">
        <w:rPr>
          <w:rFonts w:hint="eastAsia"/>
          <w:rtl/>
        </w:rPr>
        <w:t>פעולות</w:t>
      </w:r>
      <w:r w:rsidRPr="005904A1">
        <w:rPr>
          <w:rtl/>
        </w:rPr>
        <w:t xml:space="preserve"> </w:t>
      </w:r>
      <w:r w:rsidRPr="005904A1">
        <w:rPr>
          <w:rFonts w:hint="eastAsia"/>
          <w:rtl/>
        </w:rPr>
        <w:t>איבה</w:t>
      </w:r>
      <w:r w:rsidRPr="005904A1">
        <w:rPr>
          <w:rtl/>
        </w:rPr>
        <w:t xml:space="preserve">" </w:t>
      </w:r>
      <w:r w:rsidRPr="005904A1">
        <w:rPr>
          <w:rFonts w:hint="eastAsia"/>
          <w:rtl/>
        </w:rPr>
        <w:t>להצטרף</w:t>
      </w:r>
      <w:r w:rsidRPr="005904A1">
        <w:rPr>
          <w:rtl/>
        </w:rPr>
        <w:t xml:space="preserve"> </w:t>
      </w:r>
      <w:r w:rsidRPr="005904A1">
        <w:rPr>
          <w:rFonts w:hint="eastAsia"/>
          <w:rtl/>
        </w:rPr>
        <w:t>להליך</w:t>
      </w:r>
      <w:r w:rsidRPr="005904A1">
        <w:rPr>
          <w:rtl/>
        </w:rPr>
        <w:t xml:space="preserve"> </w:t>
      </w:r>
      <w:r w:rsidRPr="005904A1">
        <w:rPr>
          <w:rFonts w:hint="eastAsia"/>
          <w:rtl/>
        </w:rPr>
        <w:t>כידיד</w:t>
      </w:r>
      <w:r w:rsidRPr="005904A1">
        <w:rPr>
          <w:rtl/>
        </w:rPr>
        <w:t xml:space="preserve"> </w:t>
      </w:r>
      <w:r w:rsidRPr="005904A1">
        <w:rPr>
          <w:rFonts w:hint="eastAsia"/>
          <w:rtl/>
        </w:rPr>
        <w:t>בית</w:t>
      </w:r>
      <w:r w:rsidRPr="005904A1">
        <w:rPr>
          <w:rtl/>
        </w:rPr>
        <w:t xml:space="preserve"> </w:t>
      </w:r>
      <w:r w:rsidRPr="005904A1">
        <w:rPr>
          <w:rFonts w:hint="eastAsia"/>
          <w:rtl/>
        </w:rPr>
        <w:t>המשפט</w:t>
      </w:r>
      <w:r w:rsidRPr="005904A1">
        <w:rPr>
          <w:rtl/>
        </w:rPr>
        <w:t xml:space="preserve">. </w:t>
      </w:r>
      <w:r w:rsidR="005904A1">
        <w:rPr>
          <w:rFonts w:hint="cs"/>
          <w:rtl/>
        </w:rPr>
        <w:t>מצאנו להסתפק בנספח הבקשה הנושא כותרת "חוות דעת ידיד בית המשפט"</w:t>
      </w:r>
      <w:r w:rsidR="009843C2">
        <w:rPr>
          <w:rFonts w:hint="cs"/>
          <w:rtl/>
        </w:rPr>
        <w:t>,</w:t>
      </w:r>
      <w:r w:rsidR="005904A1">
        <w:rPr>
          <w:rFonts w:hint="cs"/>
          <w:rtl/>
        </w:rPr>
        <w:t xml:space="preserve"> אך מפאת רגישות הנושא, גם אפשרנו לבא</w:t>
      </w:r>
      <w:r w:rsidR="009843C2">
        <w:rPr>
          <w:rFonts w:hint="cs"/>
          <w:rtl/>
        </w:rPr>
        <w:t>-</w:t>
      </w:r>
      <w:r w:rsidR="005904A1">
        <w:rPr>
          <w:rFonts w:hint="cs"/>
          <w:rtl/>
        </w:rPr>
        <w:t>כוח הארגון לשאת דברים בפנינו. בתמצית, נטען</w:t>
      </w:r>
      <w:r w:rsidR="007263ED">
        <w:rPr>
          <w:rFonts w:hint="cs"/>
          <w:rtl/>
        </w:rPr>
        <w:t xml:space="preserve"> </w:t>
      </w:r>
      <w:r w:rsidR="005904A1">
        <w:rPr>
          <w:rFonts w:hint="cs"/>
          <w:rtl/>
        </w:rPr>
        <w:t xml:space="preserve">כי הטקס המשותף הוא אירוע פוליטי שיש בו כדי לפגוע ברגשות הציבור באופן כללי וברגשות "רבים </w:t>
      </w:r>
      <w:proofErr w:type="spellStart"/>
      <w:r w:rsidR="005904A1">
        <w:rPr>
          <w:rFonts w:hint="cs"/>
          <w:rtl/>
        </w:rPr>
        <w:t>רבים</w:t>
      </w:r>
      <w:proofErr w:type="spellEnd"/>
      <w:r w:rsidR="005904A1">
        <w:rPr>
          <w:rFonts w:hint="cs"/>
          <w:rtl/>
        </w:rPr>
        <w:t xml:space="preserve"> מהמשפחות השכולות, נפגעי הטרור והפצועים". נטען כי ההתנגדות אינה עקרונית לטקס עצמו, אלא לעיתוי הטקס ביום הזיכרון.  </w:t>
      </w:r>
    </w:p>
    <w:p w14:paraId="6800205C" w14:textId="77777777" w:rsidR="00B409AD" w:rsidRDefault="00B409AD" w:rsidP="00B409AD">
      <w:pPr>
        <w:pStyle w:val="Ruller40"/>
        <w:rPr>
          <w:rtl/>
        </w:rPr>
      </w:pPr>
    </w:p>
    <w:p w14:paraId="67E657DD" w14:textId="2E2366CE" w:rsidR="00B409AD" w:rsidRDefault="00B409AD" w:rsidP="009843C2">
      <w:pPr>
        <w:pStyle w:val="Ruller40"/>
        <w:rPr>
          <w:rtl/>
        </w:rPr>
      </w:pPr>
      <w:r>
        <w:rPr>
          <w:rFonts w:hint="cs"/>
          <w:rtl/>
        </w:rPr>
        <w:t>6.</w:t>
      </w:r>
      <w:r>
        <w:rPr>
          <w:rFonts w:hint="cs"/>
          <w:rtl/>
        </w:rPr>
        <w:tab/>
      </w:r>
      <w:r>
        <w:rPr>
          <w:rtl/>
        </w:rPr>
        <w:t xml:space="preserve">יש להצר על כך, </w:t>
      </w:r>
      <w:r>
        <w:rPr>
          <w:rFonts w:hint="cs"/>
          <w:rtl/>
        </w:rPr>
        <w:t>ש</w:t>
      </w:r>
      <w:r>
        <w:rPr>
          <w:rtl/>
        </w:rPr>
        <w:t xml:space="preserve">למרות </w:t>
      </w:r>
      <w:r>
        <w:rPr>
          <w:rFonts w:hint="cs"/>
          <w:rtl/>
        </w:rPr>
        <w:t>פסיקת בית משפט זה בשתי העתירות הקודמות; למרות העדר הנמקה לאי</w:t>
      </w:r>
      <w:r w:rsidR="009843C2">
        <w:rPr>
          <w:rFonts w:hint="cs"/>
          <w:rtl/>
        </w:rPr>
        <w:t>-</w:t>
      </w:r>
      <w:r>
        <w:rPr>
          <w:rFonts w:hint="cs"/>
          <w:rtl/>
        </w:rPr>
        <w:t xml:space="preserve">יישום פסיקה זו גם ביום הזיכרון הקרוב; למרות המלצת </w:t>
      </w:r>
      <w:proofErr w:type="spellStart"/>
      <w:r>
        <w:rPr>
          <w:rFonts w:hint="cs"/>
          <w:rtl/>
        </w:rPr>
        <w:t>המתפ"ש</w:t>
      </w:r>
      <w:proofErr w:type="spellEnd"/>
      <w:r>
        <w:rPr>
          <w:rFonts w:hint="cs"/>
          <w:rtl/>
        </w:rPr>
        <w:t xml:space="preserve"> שהוא הגורם המקצועי הרלוונטי; למרות החרגת אלפי פלסטינים מהסגר; ולמרות עמדתו של הייעוץ המשפטי לממשלה</w:t>
      </w:r>
      <w:r w:rsidR="005904A1">
        <w:rPr>
          <w:rFonts w:hint="cs"/>
          <w:rtl/>
        </w:rPr>
        <w:t xml:space="preserve"> </w:t>
      </w:r>
      <w:r>
        <w:rPr>
          <w:rtl/>
        </w:rPr>
        <w:t>–</w:t>
      </w:r>
      <w:r>
        <w:rPr>
          <w:rFonts w:hint="cs"/>
          <w:rtl/>
        </w:rPr>
        <w:t xml:space="preserve"> א</w:t>
      </w:r>
      <w:r>
        <w:rPr>
          <w:rtl/>
        </w:rPr>
        <w:t>נו נדרשים שוב</w:t>
      </w:r>
      <w:r>
        <w:rPr>
          <w:rFonts w:hint="cs"/>
          <w:rtl/>
        </w:rPr>
        <w:t xml:space="preserve"> להידרש לאותה סוגיה, זו הפעם השלישית.</w:t>
      </w:r>
    </w:p>
    <w:p w14:paraId="0AC5BAEA" w14:textId="77777777" w:rsidR="00B409AD" w:rsidRPr="000A044F" w:rsidRDefault="00B409AD" w:rsidP="0029092B">
      <w:pPr>
        <w:pStyle w:val="Ruller40"/>
        <w:spacing w:line="240" w:lineRule="auto"/>
        <w:rPr>
          <w:rtl/>
        </w:rPr>
      </w:pPr>
    </w:p>
    <w:p w14:paraId="5EA05FA0" w14:textId="77777777" w:rsidR="00B409AD" w:rsidRDefault="00B409AD" w:rsidP="00B409AD">
      <w:pPr>
        <w:pStyle w:val="Ruller40"/>
        <w:rPr>
          <w:rtl/>
        </w:rPr>
      </w:pPr>
      <w:r w:rsidRPr="000A044F">
        <w:rPr>
          <w:rtl/>
        </w:rPr>
        <w:tab/>
      </w:r>
      <w:r w:rsidRPr="000A044F">
        <w:rPr>
          <w:rFonts w:hint="cs"/>
          <w:rtl/>
        </w:rPr>
        <w:t>אציין כי שר הביטחון לא ביקש להציג בפנינו עמדה נוגדת לזו של הייעוץ המשפטי לממשלה, כך שלמעשה, אין בפנינו את הנימוקים שעמדו בבסיס החלטתו.</w:t>
      </w:r>
      <w:r>
        <w:rPr>
          <w:rFonts w:hint="cs"/>
          <w:rtl/>
        </w:rPr>
        <w:t xml:space="preserve">  </w:t>
      </w:r>
    </w:p>
    <w:p w14:paraId="01A476E6" w14:textId="77777777" w:rsidR="00B409AD" w:rsidRDefault="00B409AD" w:rsidP="00B409AD">
      <w:pPr>
        <w:pStyle w:val="Ruller40"/>
        <w:rPr>
          <w:rtl/>
        </w:rPr>
      </w:pPr>
    </w:p>
    <w:p w14:paraId="1D7204C3" w14:textId="77777777" w:rsidR="00B409AD" w:rsidRDefault="00B409AD" w:rsidP="00B409AD">
      <w:pPr>
        <w:pStyle w:val="Ruller40"/>
        <w:rPr>
          <w:rtl/>
        </w:rPr>
      </w:pPr>
      <w:r>
        <w:rPr>
          <w:rFonts w:hint="cs"/>
          <w:rtl/>
        </w:rPr>
        <w:t>7.</w:t>
      </w:r>
      <w:r>
        <w:rPr>
          <w:rFonts w:hint="cs"/>
          <w:rtl/>
        </w:rPr>
        <w:tab/>
        <w:t xml:space="preserve">יום הזיכרון פורט על הנימים הרגישים ביותר בחברה הישראלית, ולא בכדי יש הרואים אותו כיום קדוש, יום הרת-עולם עבור חלקים גדולים בציבור. המשפחות השכולות חולקות, שלא בטובתן, שותפות גורל שמהווה מקור של אחדות וקרבת נפש ולב. </w:t>
      </w:r>
    </w:p>
    <w:p w14:paraId="7C5303E3" w14:textId="77777777" w:rsidR="00B409AD" w:rsidRDefault="00B409AD" w:rsidP="0029092B">
      <w:pPr>
        <w:pStyle w:val="Ruller40"/>
        <w:spacing w:line="240" w:lineRule="auto"/>
        <w:rPr>
          <w:rtl/>
        </w:rPr>
      </w:pPr>
    </w:p>
    <w:p w14:paraId="17C90950" w14:textId="1D9E4B1D" w:rsidR="00B409AD" w:rsidRDefault="00B409AD" w:rsidP="005904A1">
      <w:pPr>
        <w:pStyle w:val="Ruller40"/>
        <w:rPr>
          <w:rtl/>
        </w:rPr>
      </w:pPr>
      <w:r>
        <w:rPr>
          <w:rtl/>
        </w:rPr>
        <w:tab/>
      </w:r>
      <w:r>
        <w:rPr>
          <w:rFonts w:hint="cs"/>
          <w:rtl/>
        </w:rPr>
        <w:t>אכן, יש להניח כי הטקס המשותף הוא לצנינים בעיני חלק מהמשפחות השכולות וחלקים מהציבור בישראל. אך אל מול הפגיעה ברגשות חלק מהציבור, יש להציב את רגשות המשפחות השכולות והחלקים בציבור שמזדהים עם תכניו של הטקס המשותף ומטרותיו. אין לצד זה או אחר בציבור הישראלי מונופול על הדרך שבה משפחה שכולה רשאית לבטא את אבלה ואת כאבה ביום הזיכרון. אין לי אלא לחזור על דברים שאמרתי בפסק דיני בעתירה השנייה:</w:t>
      </w:r>
    </w:p>
    <w:p w14:paraId="167700A1" w14:textId="77777777" w:rsidR="00B409AD" w:rsidRDefault="00B409AD" w:rsidP="00DD309C">
      <w:pPr>
        <w:pStyle w:val="Ruller40"/>
        <w:spacing w:line="240" w:lineRule="auto"/>
        <w:rPr>
          <w:rtl/>
        </w:rPr>
      </w:pPr>
    </w:p>
    <w:p w14:paraId="6E5FEDA9" w14:textId="77777777" w:rsidR="00B409AD" w:rsidRDefault="00B409AD" w:rsidP="00B409AD">
      <w:pPr>
        <w:pStyle w:val="Ruller5"/>
        <w:rPr>
          <w:rtl/>
        </w:rPr>
      </w:pPr>
      <w:r>
        <w:rPr>
          <w:rFonts w:hint="cs"/>
          <w:rtl/>
        </w:rPr>
        <w:t>"</w:t>
      </w:r>
      <w:r>
        <w:rPr>
          <w:rtl/>
        </w:rPr>
        <w:t xml:space="preserve">תשעים ותשע דרכים להנצחה. תשעים ותשע דרכים לבטא את השכול. כאן מונחת הליבה של חופש הביטוי, של האוטונומיה האישית, זו המעניקה לכל אדם את האפשרות לכתוב ולעצב את סיפור חייו על פי דרכו-שלו. בסיפור החיים של כל משפחה שכולה יש צער, כאב וגעגוע אין קץ ליקירה. </w:t>
      </w:r>
      <w:r>
        <w:rPr>
          <w:rFonts w:hint="cs"/>
          <w:rtl/>
        </w:rPr>
        <w:t xml:space="preserve">אל </w:t>
      </w:r>
      <w:r>
        <w:rPr>
          <w:rtl/>
        </w:rPr>
        <w:t xml:space="preserve">לשר הביטחון להתערב בדרך בה משפחה מבקשת לבטא את השכול הפרטי שלה, את העצב והיגון על לכתו ללא עת של אהוב ליבה. העותרות שבפנינו מאגדות משפחות שכולות אשר בחרו לבטא את כאבן ולציין את זכרם של יקיריהן </w:t>
      </w:r>
      <w:r>
        <w:rPr>
          <w:rFonts w:hint="cs"/>
          <w:rtl/>
        </w:rPr>
        <w:t>בטקס ה</w:t>
      </w:r>
      <w:r>
        <w:rPr>
          <w:rtl/>
        </w:rPr>
        <w:t>משותף. לא לנו להתערב בבחירתם זו</w:t>
      </w:r>
      <w:r>
        <w:rPr>
          <w:rFonts w:hint="cs"/>
          <w:rtl/>
        </w:rPr>
        <w:t>"</w:t>
      </w:r>
      <w:r>
        <w:rPr>
          <w:rtl/>
        </w:rPr>
        <w:t xml:space="preserve">.  </w:t>
      </w:r>
    </w:p>
    <w:p w14:paraId="712D700A" w14:textId="77777777" w:rsidR="00B409AD" w:rsidRDefault="00B409AD" w:rsidP="0058350C">
      <w:pPr>
        <w:pStyle w:val="Ruller40"/>
        <w:spacing w:line="480" w:lineRule="auto"/>
        <w:rPr>
          <w:rtl/>
        </w:rPr>
      </w:pPr>
    </w:p>
    <w:p w14:paraId="77303560" w14:textId="6C9117F4" w:rsidR="00B409AD" w:rsidRDefault="00B409AD" w:rsidP="005904A1">
      <w:pPr>
        <w:pStyle w:val="Ruller40"/>
        <w:rPr>
          <w:rtl/>
        </w:rPr>
      </w:pPr>
      <w:r>
        <w:rPr>
          <w:rtl/>
        </w:rPr>
        <w:tab/>
      </w:r>
      <w:r>
        <w:rPr>
          <w:rFonts w:hint="cs"/>
          <w:rtl/>
        </w:rPr>
        <w:t>ביום הזיכרון איש באמונתו ינהג, איש איש עם צערו, כאבו ושברו, כל אחד לפי דרכו.</w:t>
      </w:r>
    </w:p>
    <w:p w14:paraId="0F7CACEC" w14:textId="77777777" w:rsidR="00B409AD" w:rsidRDefault="00B409AD" w:rsidP="00B409AD">
      <w:pPr>
        <w:pStyle w:val="Ruller40"/>
        <w:rPr>
          <w:rtl/>
        </w:rPr>
      </w:pPr>
    </w:p>
    <w:p w14:paraId="3D0295C1" w14:textId="0B189B97" w:rsidR="00B409AD" w:rsidRDefault="00B409AD" w:rsidP="007263ED">
      <w:pPr>
        <w:pStyle w:val="Ruller40"/>
        <w:rPr>
          <w:rtl/>
        </w:rPr>
      </w:pPr>
      <w:r>
        <w:rPr>
          <w:rFonts w:hint="cs"/>
          <w:rtl/>
        </w:rPr>
        <w:t>8.</w:t>
      </w:r>
      <w:r>
        <w:rPr>
          <w:rFonts w:hint="cs"/>
          <w:rtl/>
        </w:rPr>
        <w:tab/>
        <w:t xml:space="preserve">שיקולי הביטחון מסורים לשר הביטחון, אך לאור החרגתם של אלפי פלסטינים מהסגר ולאור עמדת </w:t>
      </w:r>
      <w:proofErr w:type="spellStart"/>
      <w:r>
        <w:rPr>
          <w:rFonts w:hint="cs"/>
          <w:rtl/>
        </w:rPr>
        <w:t>המתפ"ש</w:t>
      </w:r>
      <w:proofErr w:type="spellEnd"/>
      <w:r>
        <w:rPr>
          <w:rFonts w:hint="cs"/>
          <w:rtl/>
        </w:rPr>
        <w:t xml:space="preserve">, </w:t>
      </w:r>
      <w:r>
        <w:rPr>
          <w:rFonts w:ascii="Century" w:hAnsi="Century"/>
          <w:rtl/>
        </w:rPr>
        <w:t xml:space="preserve">אנו מתקשים לקבל את הטענה כי הסגר מונע מלכלול ברשימה זו עוד כמאה </w:t>
      </w:r>
      <w:r>
        <w:rPr>
          <w:rFonts w:ascii="Century" w:hAnsi="Century" w:hint="cs"/>
          <w:rtl/>
        </w:rPr>
        <w:t xml:space="preserve">וחמישים </w:t>
      </w:r>
      <w:r>
        <w:rPr>
          <w:rFonts w:ascii="Century" w:hAnsi="Century"/>
          <w:rtl/>
        </w:rPr>
        <w:t>פלסטינים המבקשים להשתתף בטקס המשותף.</w:t>
      </w:r>
      <w:r>
        <w:rPr>
          <w:rFonts w:hint="cs"/>
          <w:rtl/>
        </w:rPr>
        <w:t xml:space="preserve"> לא נטען כי הפלסטינים שהשתתפו בטקס בעבר ניצלו לרעה את כניסתם. לכך יש להוסיף כי איננו עוסקים באלפי פלסטינים המבקשים להיכנס לישראל אלא בכמאה וחמישים פלסטינים, </w:t>
      </w:r>
      <w:r w:rsidR="005904A1">
        <w:rPr>
          <w:rFonts w:hint="cs"/>
          <w:rtl/>
        </w:rPr>
        <w:t xml:space="preserve">שחלקם, שמא רובם, כבר השתתפו בעבר בטקס המשותף, </w:t>
      </w:r>
      <w:r>
        <w:rPr>
          <w:rFonts w:hint="cs"/>
          <w:rtl/>
        </w:rPr>
        <w:t xml:space="preserve">והמענה לשיקול הביטחוני הוא אפוא בבחינה פרטנית של נתוניהם האישיים חלף סירוב גורף.  </w:t>
      </w:r>
    </w:p>
    <w:p w14:paraId="2737D38C" w14:textId="77777777" w:rsidR="00B409AD" w:rsidRDefault="00B409AD" w:rsidP="00B409AD">
      <w:pPr>
        <w:pStyle w:val="Ruller40"/>
        <w:rPr>
          <w:rtl/>
        </w:rPr>
      </w:pPr>
    </w:p>
    <w:p w14:paraId="23BB71CF" w14:textId="77777777" w:rsidR="00B409AD" w:rsidRDefault="00B409AD" w:rsidP="00B409AD">
      <w:pPr>
        <w:pStyle w:val="Ruller40"/>
        <w:rPr>
          <w:rtl/>
        </w:rPr>
      </w:pPr>
      <w:r>
        <w:rPr>
          <w:rFonts w:hint="cs"/>
          <w:rtl/>
        </w:rPr>
        <w:t>9.</w:t>
      </w:r>
      <w:r>
        <w:rPr>
          <w:rFonts w:hint="cs"/>
          <w:rtl/>
        </w:rPr>
        <w:tab/>
        <w:t>הערה לפני סיום.</w:t>
      </w:r>
    </w:p>
    <w:p w14:paraId="6909E4C5" w14:textId="77777777" w:rsidR="00B409AD" w:rsidRDefault="00B409AD" w:rsidP="0029092B">
      <w:pPr>
        <w:pStyle w:val="Ruller40"/>
        <w:spacing w:line="240" w:lineRule="auto"/>
        <w:rPr>
          <w:rtl/>
        </w:rPr>
      </w:pPr>
    </w:p>
    <w:p w14:paraId="3B9A39DA" w14:textId="399EFFB5" w:rsidR="00B409AD" w:rsidRDefault="00B409AD" w:rsidP="009843C2">
      <w:pPr>
        <w:pStyle w:val="Ruller40"/>
        <w:rPr>
          <w:rtl/>
        </w:rPr>
      </w:pPr>
      <w:r>
        <w:rPr>
          <w:rtl/>
        </w:rPr>
        <w:tab/>
      </w:r>
      <w:r>
        <w:rPr>
          <w:rFonts w:hint="cs"/>
          <w:rtl/>
        </w:rPr>
        <w:t xml:space="preserve">הפלסטינים שכניסתם מתבקשת </w:t>
      </w:r>
      <w:r w:rsidRPr="00F92F2D">
        <w:rPr>
          <w:rFonts w:ascii="Century" w:hAnsi="Century" w:cs="Miriam" w:hint="eastAsia"/>
          <w:b/>
          <w:spacing w:val="0"/>
          <w:szCs w:val="24"/>
          <w:rtl/>
        </w:rPr>
        <w:t>אינם</w:t>
      </w:r>
      <w:r>
        <w:rPr>
          <w:rFonts w:hint="cs"/>
          <w:rtl/>
        </w:rPr>
        <w:t xml:space="preserve"> כאלה שבני משפחותיהם מצאו את מותם בפעולות טרור או לחימה נגד ישראל. </w:t>
      </w:r>
      <w:r w:rsidR="009843C2">
        <w:rPr>
          <w:rFonts w:hint="cs"/>
          <w:rtl/>
        </w:rPr>
        <w:t xml:space="preserve">עובדה זו </w:t>
      </w:r>
      <w:r>
        <w:rPr>
          <w:rFonts w:hint="cs"/>
          <w:rtl/>
        </w:rPr>
        <w:t>לא הפריע</w:t>
      </w:r>
      <w:r w:rsidR="009843C2">
        <w:rPr>
          <w:rFonts w:hint="cs"/>
          <w:rtl/>
        </w:rPr>
        <w:t>ה</w:t>
      </w:r>
      <w:r>
        <w:rPr>
          <w:rFonts w:hint="cs"/>
          <w:rtl/>
        </w:rPr>
        <w:t xml:space="preserve"> להפצת שקרים וציוצים למיניהם, לאחר מתן פסק הדין בעתירה השנייה, כביכול בית משפט זה התיר כניסת משפחות מחבלים ביום הזיכרון. זאת, למרות שגם המדינה אישרה, כאמור בפסק הדין בעתירה השנייה, כי אין ממש בדברים (שם, פסקה 2 סיפא לפסק דיני). מצאתי לכתוב דברים אלה בתקווה כי זו הפעם יהא בכך כדי לעכב בעדם של מפיצי חדשות הכזב ("</w:t>
      </w:r>
      <w:proofErr w:type="spellStart"/>
      <w:r>
        <w:rPr>
          <w:rFonts w:hint="cs"/>
          <w:rtl/>
        </w:rPr>
        <w:t>פייק</w:t>
      </w:r>
      <w:proofErr w:type="spellEnd"/>
      <w:r>
        <w:rPr>
          <w:rFonts w:hint="cs"/>
          <w:rtl/>
        </w:rPr>
        <w:t xml:space="preserve">-ניוז"). </w:t>
      </w:r>
    </w:p>
    <w:p w14:paraId="0E2CDBBB" w14:textId="2C0D2AFC" w:rsidR="00817FB3" w:rsidRPr="00DF3CE6" w:rsidRDefault="00817FB3" w:rsidP="00817FB3">
      <w:pPr>
        <w:pStyle w:val="Ruller40"/>
        <w:rPr>
          <w:b/>
          <w:bCs/>
          <w:rtl/>
        </w:rPr>
      </w:pPr>
    </w:p>
    <w:p w14:paraId="69F63B12" w14:textId="77777777" w:rsidR="00817FB3" w:rsidRDefault="00817FB3" w:rsidP="00817FB3">
      <w:pPr>
        <w:pStyle w:val="Ruller40"/>
        <w:rPr>
          <w:rtl/>
        </w:rPr>
      </w:pPr>
      <w:r>
        <w:rPr>
          <w:rFonts w:hint="cs"/>
          <w:rtl/>
        </w:rPr>
        <w:t>10.</w:t>
      </w:r>
      <w:r>
        <w:rPr>
          <w:rFonts w:hint="cs"/>
          <w:rtl/>
        </w:rPr>
        <w:tab/>
        <w:t xml:space="preserve">בשולי הדברים ולנוכח עמדת חברי, השופט </w:t>
      </w:r>
      <w:r w:rsidRPr="00A95802">
        <w:rPr>
          <w:rFonts w:ascii="Century" w:hAnsi="Century" w:cs="Miriam" w:hint="eastAsia"/>
          <w:b/>
          <w:spacing w:val="0"/>
          <w:szCs w:val="24"/>
          <w:rtl/>
        </w:rPr>
        <w:t>א</w:t>
      </w:r>
      <w:r w:rsidRPr="00A95802">
        <w:rPr>
          <w:rFonts w:ascii="Century" w:hAnsi="Century" w:cs="Miriam"/>
          <w:b/>
          <w:spacing w:val="0"/>
          <w:szCs w:val="24"/>
          <w:rtl/>
        </w:rPr>
        <w:t xml:space="preserve">' </w:t>
      </w:r>
      <w:r w:rsidRPr="00A95802">
        <w:rPr>
          <w:rFonts w:ascii="Century" w:hAnsi="Century" w:cs="Miriam" w:hint="eastAsia"/>
          <w:b/>
          <w:spacing w:val="0"/>
          <w:szCs w:val="24"/>
          <w:rtl/>
        </w:rPr>
        <w:t>שטיין</w:t>
      </w:r>
      <w:r>
        <w:rPr>
          <w:rFonts w:hint="cs"/>
          <w:rtl/>
        </w:rPr>
        <w:t xml:space="preserve">: במקרה שלפנינו, קיימים חילוקי דעות בין עמדת שר הביטחון לעמדת הייעוץ המשפטי לממשלה. בסוגיה של אופן ייצוג משיבי המדינה במקרים מסוג זה הובעו בעבר דעות שונות (ראו בג"ץ 5124/18 </w:t>
      </w:r>
      <w:r w:rsidRPr="00F71105">
        <w:rPr>
          <w:rFonts w:ascii="Century" w:hAnsi="Century" w:cs="Miriam" w:hint="cs"/>
          <w:b/>
          <w:spacing w:val="0"/>
          <w:szCs w:val="24"/>
          <w:rtl/>
        </w:rPr>
        <w:t>תנובה מרכז שיתופי לשיווק תוצרת חקלאית בישראל בע"מ נ' שר האוצר</w:t>
      </w:r>
      <w:r w:rsidRPr="00F71105">
        <w:rPr>
          <w:rFonts w:hint="cs"/>
          <w:rtl/>
        </w:rPr>
        <w:t xml:space="preserve"> </w:t>
      </w:r>
      <w:r>
        <w:rPr>
          <w:rFonts w:hint="cs"/>
          <w:rtl/>
        </w:rPr>
        <w:t xml:space="preserve">(4.3.2019); בג"ץ 5769/18 </w:t>
      </w:r>
      <w:proofErr w:type="spellStart"/>
      <w:r w:rsidRPr="00315151">
        <w:rPr>
          <w:rFonts w:ascii="Century" w:hAnsi="Century" w:cs="Miriam" w:hint="cs"/>
          <w:b/>
          <w:spacing w:val="0"/>
          <w:szCs w:val="24"/>
          <w:rtl/>
        </w:rPr>
        <w:t>אמיתי</w:t>
      </w:r>
      <w:proofErr w:type="spellEnd"/>
      <w:r w:rsidRPr="00315151">
        <w:rPr>
          <w:rFonts w:ascii="Century" w:hAnsi="Century" w:cs="Miriam" w:hint="cs"/>
          <w:b/>
          <w:spacing w:val="0"/>
          <w:szCs w:val="24"/>
          <w:rtl/>
        </w:rPr>
        <w:t xml:space="preserve"> נ' </w:t>
      </w:r>
      <w:r w:rsidRPr="00315151">
        <w:rPr>
          <w:rFonts w:ascii="Century" w:hAnsi="Century" w:cs="Miriam" w:hint="eastAsia"/>
          <w:b/>
          <w:spacing w:val="0"/>
          <w:szCs w:val="24"/>
          <w:rtl/>
        </w:rPr>
        <w:t>שר</w:t>
      </w:r>
      <w:r w:rsidRPr="00315151">
        <w:rPr>
          <w:rFonts w:ascii="Century" w:hAnsi="Century" w:cs="Miriam"/>
          <w:b/>
          <w:spacing w:val="0"/>
          <w:szCs w:val="24"/>
          <w:rtl/>
        </w:rPr>
        <w:t xml:space="preserve"> </w:t>
      </w:r>
      <w:r w:rsidRPr="00315151">
        <w:rPr>
          <w:rFonts w:ascii="Century" w:hAnsi="Century" w:cs="Miriam" w:hint="eastAsia"/>
          <w:b/>
          <w:spacing w:val="0"/>
          <w:szCs w:val="24"/>
          <w:rtl/>
        </w:rPr>
        <w:t>המדע</w:t>
      </w:r>
      <w:r w:rsidRPr="00315151">
        <w:rPr>
          <w:rFonts w:ascii="Century" w:hAnsi="Century" w:cs="Miriam"/>
          <w:b/>
          <w:spacing w:val="0"/>
          <w:szCs w:val="24"/>
          <w:rtl/>
        </w:rPr>
        <w:t xml:space="preserve"> </w:t>
      </w:r>
      <w:r w:rsidRPr="00315151">
        <w:rPr>
          <w:rFonts w:ascii="Century" w:hAnsi="Century" w:cs="Miriam" w:hint="cs"/>
          <w:b/>
          <w:spacing w:val="0"/>
          <w:szCs w:val="24"/>
          <w:rtl/>
        </w:rPr>
        <w:t>והטכנולוגי</w:t>
      </w:r>
      <w:r w:rsidRPr="00315151">
        <w:rPr>
          <w:rFonts w:ascii="Century" w:hAnsi="Century" w:cs="Miriam" w:hint="eastAsia"/>
          <w:b/>
          <w:spacing w:val="0"/>
          <w:szCs w:val="24"/>
          <w:rtl/>
        </w:rPr>
        <w:t>ה</w:t>
      </w:r>
      <w:r>
        <w:rPr>
          <w:rFonts w:hint="cs"/>
          <w:rtl/>
        </w:rPr>
        <w:t xml:space="preserve"> </w:t>
      </w:r>
      <w:r>
        <w:rPr>
          <w:rtl/>
        </w:rPr>
        <w:t>(</w:t>
      </w:r>
      <w:r>
        <w:rPr>
          <w:rFonts w:hint="eastAsia"/>
          <w:rtl/>
        </w:rPr>
        <w:t>‏</w:t>
      </w:r>
      <w:r>
        <w:rPr>
          <w:rFonts w:hint="cs"/>
          <w:rtl/>
        </w:rPr>
        <w:t>4</w:t>
      </w:r>
      <w:r>
        <w:rPr>
          <w:rtl/>
        </w:rPr>
        <w:t>.3.2019)</w:t>
      </w:r>
      <w:r>
        <w:rPr>
          <w:rFonts w:hint="cs"/>
          <w:rtl/>
        </w:rPr>
        <w:t xml:space="preserve">). ואולם, משעה שבמקרה שלפנינו לא נתבקש על ידי שר הביטחון להציג בפנינו עמדה עצמאית מטעמו, ובהינתן שאין חולק כי בנסיבות אלה דין העתירה להתקבל </w:t>
      </w:r>
      <w:r>
        <w:rPr>
          <w:rtl/>
        </w:rPr>
        <w:t>–</w:t>
      </w:r>
      <w:r>
        <w:rPr>
          <w:rFonts w:hint="cs"/>
          <w:rtl/>
        </w:rPr>
        <w:t xml:space="preserve"> אזי לא זה המקום ולא זו השעה להידרש לדעות אלו.</w:t>
      </w:r>
    </w:p>
    <w:p w14:paraId="26AA2355" w14:textId="77777777" w:rsidR="00B409AD" w:rsidRDefault="00B409AD" w:rsidP="00B409AD">
      <w:pPr>
        <w:pStyle w:val="Ruller40"/>
        <w:rPr>
          <w:rtl/>
        </w:rPr>
      </w:pPr>
    </w:p>
    <w:p w14:paraId="681A4420" w14:textId="4450ADDD" w:rsidR="00B409AD" w:rsidRDefault="00BB706C" w:rsidP="00BB706C">
      <w:pPr>
        <w:pStyle w:val="Ruller40"/>
        <w:rPr>
          <w:rtl/>
        </w:rPr>
      </w:pPr>
      <w:r>
        <w:rPr>
          <w:rFonts w:hint="cs"/>
          <w:rtl/>
        </w:rPr>
        <w:t>11</w:t>
      </w:r>
      <w:r w:rsidR="00B409AD">
        <w:rPr>
          <w:rFonts w:hint="cs"/>
          <w:rtl/>
        </w:rPr>
        <w:t>.</w:t>
      </w:r>
      <w:r w:rsidR="00B409AD">
        <w:rPr>
          <w:rFonts w:hint="cs"/>
          <w:rtl/>
        </w:rPr>
        <w:tab/>
        <w:t>סוף דבר, ש</w:t>
      </w:r>
      <w:r w:rsidR="00B409AD">
        <w:rPr>
          <w:rtl/>
        </w:rPr>
        <w:t>החלטנו לעשות את הצו על תנאי למוחלט (בהסכמת המשיבים</w:t>
      </w:r>
      <w:r w:rsidR="00B409AD">
        <w:rPr>
          <w:rFonts w:hint="cs"/>
          <w:rtl/>
        </w:rPr>
        <w:t>, לנוכח סד הזמני הדוחק</w:t>
      </w:r>
      <w:r w:rsidR="007263ED">
        <w:rPr>
          <w:rFonts w:hint="cs"/>
          <w:rtl/>
        </w:rPr>
        <w:t xml:space="preserve"> וכפי שנעשה בעתירות הקודמות</w:t>
      </w:r>
      <w:r w:rsidR="00B409AD">
        <w:rPr>
          <w:rFonts w:hint="cs"/>
          <w:rtl/>
        </w:rPr>
        <w:t xml:space="preserve">, </w:t>
      </w:r>
      <w:r w:rsidR="00B409AD">
        <w:rPr>
          <w:rtl/>
        </w:rPr>
        <w:t xml:space="preserve">הדיון נערך מלכתחילה כאילו ניתן צו על תנאי), ולהורות לשר הביטחון לאפשר מתן היתרי כניסה ייעודיים לישראל </w:t>
      </w:r>
      <w:r w:rsidR="00B409AD">
        <w:rPr>
          <w:rFonts w:hint="cs"/>
          <w:rtl/>
        </w:rPr>
        <w:t xml:space="preserve">לתושבים הפלסטיניים שכניסתם נתבקשה </w:t>
      </w:r>
      <w:r w:rsidR="00B409AD">
        <w:rPr>
          <w:rtl/>
        </w:rPr>
        <w:t>לצורך השתתפות בטקס המשותף</w:t>
      </w:r>
      <w:r w:rsidR="00B409AD">
        <w:rPr>
          <w:rFonts w:hint="cs"/>
          <w:rtl/>
        </w:rPr>
        <w:t>, בכפוף לבדיקה פרטנית</w:t>
      </w:r>
      <w:r w:rsidR="00B409AD">
        <w:rPr>
          <w:rtl/>
        </w:rPr>
        <w:t>. מובן כי ככל שקיימת מניעה ביטחונית לכניסתו של מי מהפלסטינים ברשימה שהועברה אל הרשויות, הרי שרשאי שר הביטחון לפעול על פי סמכותו ולמנוע את כניסתו.</w:t>
      </w:r>
    </w:p>
    <w:p w14:paraId="4F0A1489" w14:textId="0445465C" w:rsidR="00DE4A23" w:rsidRDefault="00DE4A23" w:rsidP="007A5012">
      <w:pPr>
        <w:pStyle w:val="Ruller40"/>
        <w:spacing w:line="240" w:lineRule="auto"/>
        <w:rPr>
          <w:rtl/>
        </w:rPr>
      </w:pPr>
    </w:p>
    <w:p w14:paraId="70A8F4C9" w14:textId="77777777" w:rsidR="00614849" w:rsidRDefault="00614849" w:rsidP="00614849">
      <w:pPr>
        <w:pStyle w:val="Ruller40"/>
        <w:spacing w:line="240" w:lineRule="auto"/>
        <w:rPr>
          <w:rtl/>
        </w:rPr>
      </w:pPr>
    </w:p>
    <w:tbl>
      <w:tblPr>
        <w:bidiVisual/>
        <w:tblW w:w="0" w:type="auto"/>
        <w:tblLook w:val="01E0" w:firstRow="1" w:lastRow="1" w:firstColumn="1" w:lastColumn="1" w:noHBand="0" w:noVBand="0"/>
      </w:tblPr>
      <w:tblGrid>
        <w:gridCol w:w="2769"/>
        <w:gridCol w:w="2769"/>
        <w:gridCol w:w="2774"/>
      </w:tblGrid>
      <w:tr w:rsidR="00B409AD" w:rsidRPr="004776CB" w14:paraId="3C84493C" w14:textId="77777777" w:rsidTr="0058350C">
        <w:tc>
          <w:tcPr>
            <w:tcW w:w="2769" w:type="dxa"/>
            <w:shd w:val="clear" w:color="auto" w:fill="auto"/>
          </w:tcPr>
          <w:p w14:paraId="35A71AB0" w14:textId="77777777" w:rsidR="00B409AD" w:rsidRPr="004776CB" w:rsidRDefault="00B409AD" w:rsidP="00152136">
            <w:pPr>
              <w:pStyle w:val="Ruller40"/>
              <w:rPr>
                <w:rtl/>
              </w:rPr>
            </w:pPr>
          </w:p>
        </w:tc>
        <w:tc>
          <w:tcPr>
            <w:tcW w:w="2769" w:type="dxa"/>
            <w:shd w:val="clear" w:color="auto" w:fill="auto"/>
          </w:tcPr>
          <w:p w14:paraId="66B79466" w14:textId="77777777" w:rsidR="00B409AD" w:rsidRPr="004776CB" w:rsidRDefault="00B409AD" w:rsidP="00152136">
            <w:pPr>
              <w:pStyle w:val="Ruller40"/>
              <w:rPr>
                <w:rtl/>
              </w:rPr>
            </w:pPr>
          </w:p>
        </w:tc>
        <w:tc>
          <w:tcPr>
            <w:tcW w:w="2774" w:type="dxa"/>
            <w:shd w:val="clear" w:color="auto" w:fill="auto"/>
          </w:tcPr>
          <w:p w14:paraId="2BC4EB51" w14:textId="77777777" w:rsidR="00B409AD" w:rsidRPr="004776CB" w:rsidRDefault="00B409AD" w:rsidP="00152136">
            <w:pPr>
              <w:pStyle w:val="Ruller40"/>
              <w:rPr>
                <w:rtl/>
              </w:rPr>
            </w:pPr>
            <w:r w:rsidRPr="004776CB">
              <w:rPr>
                <w:rtl/>
              </w:rPr>
              <w:t>ש ו פ ט</w:t>
            </w:r>
          </w:p>
        </w:tc>
      </w:tr>
    </w:tbl>
    <w:p w14:paraId="39FA4F39" w14:textId="617AF731" w:rsidR="00B409AD" w:rsidRDefault="00B409AD" w:rsidP="0029092B">
      <w:pPr>
        <w:tabs>
          <w:tab w:val="left" w:pos="800"/>
        </w:tabs>
        <w:spacing w:line="480" w:lineRule="auto"/>
        <w:jc w:val="both"/>
        <w:rPr>
          <w:rFonts w:ascii="Arial TUR" w:hAnsi="Arial TUR"/>
          <w:sz w:val="22"/>
          <w:rtl/>
        </w:rPr>
      </w:pPr>
    </w:p>
    <w:p w14:paraId="456A091D" w14:textId="77777777" w:rsidR="0029092B" w:rsidRPr="004776CB" w:rsidRDefault="0029092B" w:rsidP="0029092B">
      <w:pPr>
        <w:tabs>
          <w:tab w:val="left" w:pos="800"/>
        </w:tabs>
        <w:jc w:val="both"/>
        <w:rPr>
          <w:rFonts w:ascii="Arial TUR" w:hAnsi="Arial TUR"/>
          <w:sz w:val="22"/>
          <w:rtl/>
        </w:rPr>
      </w:pPr>
    </w:p>
    <w:p w14:paraId="1FBE5701" w14:textId="799D114F" w:rsidR="00B409AD" w:rsidRPr="004776CB" w:rsidRDefault="00B409AD" w:rsidP="00614849">
      <w:pPr>
        <w:tabs>
          <w:tab w:val="left" w:pos="800"/>
        </w:tabs>
        <w:spacing w:line="480" w:lineRule="auto"/>
        <w:jc w:val="both"/>
        <w:rPr>
          <w:rFonts w:cs="Miriam"/>
          <w:rtl/>
        </w:rPr>
      </w:pPr>
      <w:r w:rsidRPr="004776CB">
        <w:rPr>
          <w:rFonts w:ascii="Arial TUR" w:hAnsi="Arial TUR" w:hint="cs"/>
          <w:sz w:val="22"/>
          <w:rtl/>
        </w:rPr>
        <w:t xml:space="preserve"> </w:t>
      </w:r>
      <w:r w:rsidRPr="004776CB">
        <w:rPr>
          <w:rFonts w:cs="Miriam" w:hint="cs"/>
          <w:u w:val="single"/>
          <w:rtl/>
        </w:rPr>
        <w:t xml:space="preserve">השופט </w:t>
      </w:r>
      <w:r>
        <w:rPr>
          <w:rFonts w:cs="Miriam" w:hint="cs"/>
          <w:u w:val="single"/>
          <w:rtl/>
        </w:rPr>
        <w:t>א' שטיין</w:t>
      </w:r>
      <w:r w:rsidRPr="004776CB">
        <w:rPr>
          <w:rFonts w:cs="Miriam" w:hint="cs"/>
          <w:rtl/>
        </w:rPr>
        <w:t>:</w:t>
      </w:r>
    </w:p>
    <w:p w14:paraId="641C8E9D" w14:textId="619FF783" w:rsidR="00B409AD" w:rsidRDefault="00B409AD" w:rsidP="00D31C7C">
      <w:pPr>
        <w:tabs>
          <w:tab w:val="left" w:pos="800"/>
        </w:tabs>
        <w:jc w:val="both"/>
        <w:rPr>
          <w:rFonts w:ascii="Arial TUR" w:hAnsi="Arial TUR"/>
          <w:sz w:val="22"/>
          <w:rtl/>
        </w:rPr>
      </w:pPr>
      <w:r w:rsidRPr="004776CB">
        <w:rPr>
          <w:rFonts w:ascii="Arial TUR" w:hAnsi="Arial TUR" w:hint="cs"/>
          <w:sz w:val="22"/>
          <w:rtl/>
        </w:rPr>
        <w:tab/>
      </w:r>
    </w:p>
    <w:p w14:paraId="09E50CB3" w14:textId="04A4E241" w:rsidR="00817FB3" w:rsidRDefault="00BB706C" w:rsidP="008E1585">
      <w:pPr>
        <w:pStyle w:val="Ruller4"/>
      </w:pPr>
      <w:r>
        <w:rPr>
          <w:rtl/>
        </w:rPr>
        <w:tab/>
      </w:r>
      <w:r w:rsidR="00817FB3">
        <w:rPr>
          <w:rFonts w:hint="cs"/>
          <w:rtl/>
        </w:rPr>
        <w:t xml:space="preserve">אני מגיע לתוצאה אליה הגיע חברי, השופט </w:t>
      </w:r>
      <w:r w:rsidR="00817FB3" w:rsidRPr="00C57B1A">
        <w:rPr>
          <w:rFonts w:ascii="Century" w:hAnsi="Century" w:cs="Miriam" w:hint="cs"/>
          <w:b/>
          <w:spacing w:val="0"/>
          <w:sz w:val="22"/>
          <w:szCs w:val="24"/>
          <w:rtl/>
        </w:rPr>
        <w:t>י' עמית</w:t>
      </w:r>
      <w:r w:rsidR="00817FB3">
        <w:rPr>
          <w:rFonts w:hint="cs"/>
          <w:rtl/>
        </w:rPr>
        <w:t xml:space="preserve">, </w:t>
      </w:r>
      <w:r w:rsidR="008E1585">
        <w:rPr>
          <w:rFonts w:hint="cs"/>
          <w:rtl/>
        </w:rPr>
        <w:t>בלית-ברירה</w:t>
      </w:r>
      <w:r w:rsidR="00817FB3">
        <w:rPr>
          <w:rFonts w:hint="cs"/>
          <w:rtl/>
        </w:rPr>
        <w:t xml:space="preserve">: שר הביטחון בחר שלא להופיע לפנינו כדי להציג ולפרט את עמדתו ואת שיקוליו </w:t>
      </w:r>
      <w:r w:rsidR="00817FB3">
        <w:rPr>
          <w:rtl/>
        </w:rPr>
        <w:t>–</w:t>
      </w:r>
      <w:r w:rsidR="00817FB3">
        <w:rPr>
          <w:rFonts w:hint="cs"/>
          <w:rtl/>
        </w:rPr>
        <w:t xml:space="preserve"> ומכאן פסק הדין אשר ניתן בהיעדר הגנה, אחרי שהיועצת המשפטית לממשלה החליטה שלא להגן על עמדתו של השר. </w:t>
      </w:r>
    </w:p>
    <w:p w14:paraId="3324ED4B" w14:textId="77777777" w:rsidR="00817FB3" w:rsidRDefault="00817FB3" w:rsidP="00817FB3">
      <w:pPr>
        <w:pStyle w:val="Ruller4"/>
        <w:numPr>
          <w:ilvl w:val="0"/>
          <w:numId w:val="0"/>
        </w:numPr>
        <w:spacing w:line="240" w:lineRule="auto"/>
      </w:pPr>
    </w:p>
    <w:p w14:paraId="2AB02DEA" w14:textId="77777777" w:rsidR="00817FB3" w:rsidRDefault="00817FB3" w:rsidP="00817FB3">
      <w:pPr>
        <w:pStyle w:val="Ruller4"/>
      </w:pPr>
      <w:r>
        <w:rPr>
          <w:rtl/>
        </w:rPr>
        <w:tab/>
      </w:r>
      <w:r>
        <w:rPr>
          <w:rFonts w:hint="cs"/>
          <w:rtl/>
        </w:rPr>
        <w:t xml:space="preserve">בכל הנוגע לסוגיית ייצוג משיבי המדינה במקרים של חילוקי דעות אל מול הייעוץ המשפטי לממשלה, הבעתי דעתי בעבר </w:t>
      </w:r>
      <w:r w:rsidRPr="00BB706C">
        <w:rPr>
          <w:rFonts w:hint="cs"/>
          <w:rtl/>
        </w:rPr>
        <w:t>(</w:t>
      </w:r>
      <w:r w:rsidRPr="00A95802">
        <w:rPr>
          <w:rFonts w:hint="eastAsia"/>
          <w:rtl/>
        </w:rPr>
        <w:t>בג</w:t>
      </w:r>
      <w:r w:rsidRPr="00A95802">
        <w:rPr>
          <w:rtl/>
        </w:rPr>
        <w:t>"</w:t>
      </w:r>
      <w:r w:rsidRPr="00A95802">
        <w:rPr>
          <w:rFonts w:hint="eastAsia"/>
          <w:rtl/>
        </w:rPr>
        <w:t>ץ</w:t>
      </w:r>
      <w:r w:rsidRPr="00A95802">
        <w:rPr>
          <w:rtl/>
        </w:rPr>
        <w:t xml:space="preserve"> 5769/18 </w:t>
      </w:r>
      <w:proofErr w:type="spellStart"/>
      <w:r w:rsidRPr="00A95802">
        <w:rPr>
          <w:rFonts w:ascii="Century" w:hAnsi="Century" w:cs="Miriam" w:hint="eastAsia"/>
          <w:b/>
          <w:spacing w:val="0"/>
          <w:szCs w:val="24"/>
          <w:rtl/>
        </w:rPr>
        <w:t>אמיתי</w:t>
      </w:r>
      <w:proofErr w:type="spellEnd"/>
      <w:r w:rsidRPr="00A95802">
        <w:rPr>
          <w:rFonts w:ascii="Century" w:hAnsi="Century" w:cs="Miriam"/>
          <w:b/>
          <w:spacing w:val="0"/>
          <w:szCs w:val="24"/>
          <w:rtl/>
        </w:rPr>
        <w:t xml:space="preserve"> </w:t>
      </w:r>
      <w:r w:rsidRPr="00A95802">
        <w:rPr>
          <w:rFonts w:ascii="Century" w:hAnsi="Century" w:cs="Miriam" w:hint="eastAsia"/>
          <w:b/>
          <w:spacing w:val="0"/>
          <w:szCs w:val="24"/>
          <w:rtl/>
        </w:rPr>
        <w:t>נ</w:t>
      </w:r>
      <w:r w:rsidRPr="00A95802">
        <w:rPr>
          <w:rFonts w:ascii="Century" w:hAnsi="Century" w:cs="Miriam"/>
          <w:b/>
          <w:spacing w:val="0"/>
          <w:szCs w:val="24"/>
          <w:rtl/>
        </w:rPr>
        <w:t xml:space="preserve">' </w:t>
      </w:r>
      <w:r w:rsidRPr="00A95802">
        <w:rPr>
          <w:rFonts w:ascii="Century" w:hAnsi="Century" w:cs="Miriam" w:hint="eastAsia"/>
          <w:b/>
          <w:spacing w:val="0"/>
          <w:szCs w:val="24"/>
          <w:rtl/>
        </w:rPr>
        <w:t>שר</w:t>
      </w:r>
      <w:r w:rsidRPr="00A95802">
        <w:rPr>
          <w:rFonts w:ascii="Century" w:hAnsi="Century" w:cs="Miriam"/>
          <w:b/>
          <w:spacing w:val="0"/>
          <w:szCs w:val="24"/>
          <w:rtl/>
        </w:rPr>
        <w:t xml:space="preserve"> </w:t>
      </w:r>
      <w:r w:rsidRPr="00A95802">
        <w:rPr>
          <w:rFonts w:ascii="Century" w:hAnsi="Century" w:cs="Miriam" w:hint="eastAsia"/>
          <w:b/>
          <w:spacing w:val="0"/>
          <w:szCs w:val="24"/>
          <w:rtl/>
        </w:rPr>
        <w:t>המדע</w:t>
      </w:r>
      <w:r w:rsidRPr="00A95802">
        <w:rPr>
          <w:rFonts w:ascii="Century" w:hAnsi="Century" w:cs="Miriam"/>
          <w:b/>
          <w:spacing w:val="0"/>
          <w:szCs w:val="24"/>
          <w:rtl/>
        </w:rPr>
        <w:t xml:space="preserve"> </w:t>
      </w:r>
      <w:r w:rsidRPr="00A95802">
        <w:rPr>
          <w:rFonts w:ascii="Century" w:hAnsi="Century" w:cs="Miriam" w:hint="eastAsia"/>
          <w:b/>
          <w:spacing w:val="0"/>
          <w:szCs w:val="24"/>
          <w:rtl/>
        </w:rPr>
        <w:t>והטכנולוגיה</w:t>
      </w:r>
      <w:r w:rsidRPr="00A95802">
        <w:rPr>
          <w:rtl/>
        </w:rPr>
        <w:t xml:space="preserve"> (</w:t>
      </w:r>
      <w:r w:rsidRPr="00A95802">
        <w:rPr>
          <w:rFonts w:hint="eastAsia"/>
          <w:rtl/>
        </w:rPr>
        <w:t>‏</w:t>
      </w:r>
      <w:r w:rsidRPr="00A95802">
        <w:rPr>
          <w:rtl/>
        </w:rPr>
        <w:t>4.3.2019)</w:t>
      </w:r>
      <w:r w:rsidRPr="00BB706C">
        <w:rPr>
          <w:rFonts w:hint="cs"/>
          <w:rtl/>
        </w:rPr>
        <w:t xml:space="preserve">; </w:t>
      </w:r>
      <w:r w:rsidRPr="00A95802">
        <w:rPr>
          <w:rFonts w:hint="eastAsia"/>
          <w:rtl/>
        </w:rPr>
        <w:t>בג</w:t>
      </w:r>
      <w:r w:rsidRPr="00A95802">
        <w:rPr>
          <w:rtl/>
        </w:rPr>
        <w:t>"</w:t>
      </w:r>
      <w:r w:rsidRPr="00A95802">
        <w:rPr>
          <w:rFonts w:hint="eastAsia"/>
          <w:rtl/>
        </w:rPr>
        <w:t>ץ</w:t>
      </w:r>
      <w:r w:rsidRPr="00A95802">
        <w:rPr>
          <w:rtl/>
        </w:rPr>
        <w:t xml:space="preserve"> 5124/18 </w:t>
      </w:r>
      <w:r w:rsidRPr="00A95802">
        <w:rPr>
          <w:rFonts w:ascii="Century" w:hAnsi="Century" w:cs="Miriam" w:hint="eastAsia"/>
          <w:b/>
          <w:spacing w:val="0"/>
          <w:sz w:val="22"/>
          <w:szCs w:val="24"/>
          <w:rtl/>
        </w:rPr>
        <w:t>תנובה</w:t>
      </w:r>
      <w:r w:rsidRPr="00A95802">
        <w:rPr>
          <w:rFonts w:ascii="Century" w:hAnsi="Century" w:cs="Miriam"/>
          <w:b/>
          <w:spacing w:val="0"/>
          <w:sz w:val="22"/>
          <w:szCs w:val="24"/>
          <w:rtl/>
        </w:rPr>
        <w:t xml:space="preserve"> </w:t>
      </w:r>
      <w:r w:rsidRPr="00A95802">
        <w:rPr>
          <w:rFonts w:ascii="Century" w:hAnsi="Century" w:cs="Miriam" w:hint="eastAsia"/>
          <w:b/>
          <w:spacing w:val="0"/>
          <w:sz w:val="22"/>
          <w:szCs w:val="24"/>
          <w:rtl/>
        </w:rPr>
        <w:t>מרכז</w:t>
      </w:r>
      <w:r w:rsidRPr="00A95802">
        <w:rPr>
          <w:rFonts w:ascii="Century" w:hAnsi="Century" w:cs="Miriam"/>
          <w:b/>
          <w:spacing w:val="0"/>
          <w:sz w:val="22"/>
          <w:szCs w:val="24"/>
          <w:rtl/>
        </w:rPr>
        <w:t xml:space="preserve"> </w:t>
      </w:r>
      <w:r w:rsidRPr="00A95802">
        <w:rPr>
          <w:rFonts w:ascii="Century" w:hAnsi="Century" w:cs="Miriam" w:hint="eastAsia"/>
          <w:b/>
          <w:spacing w:val="0"/>
          <w:sz w:val="22"/>
          <w:szCs w:val="24"/>
          <w:rtl/>
        </w:rPr>
        <w:t>שיתופי</w:t>
      </w:r>
      <w:r w:rsidRPr="00A95802">
        <w:rPr>
          <w:rFonts w:ascii="Century" w:hAnsi="Century" w:cs="Miriam"/>
          <w:b/>
          <w:spacing w:val="0"/>
          <w:sz w:val="22"/>
          <w:szCs w:val="24"/>
          <w:rtl/>
        </w:rPr>
        <w:t xml:space="preserve"> </w:t>
      </w:r>
      <w:r w:rsidRPr="00A95802">
        <w:rPr>
          <w:rFonts w:ascii="Century" w:hAnsi="Century" w:cs="Miriam" w:hint="eastAsia"/>
          <w:b/>
          <w:spacing w:val="0"/>
          <w:sz w:val="22"/>
          <w:szCs w:val="24"/>
          <w:rtl/>
        </w:rPr>
        <w:t>לשיווק</w:t>
      </w:r>
      <w:r w:rsidRPr="00A95802">
        <w:rPr>
          <w:rFonts w:ascii="Century" w:hAnsi="Century" w:cs="Miriam"/>
          <w:b/>
          <w:spacing w:val="0"/>
          <w:sz w:val="22"/>
          <w:szCs w:val="24"/>
          <w:rtl/>
        </w:rPr>
        <w:t xml:space="preserve"> </w:t>
      </w:r>
      <w:r w:rsidRPr="00A95802">
        <w:rPr>
          <w:rFonts w:ascii="Century" w:hAnsi="Century" w:cs="Miriam" w:hint="eastAsia"/>
          <w:b/>
          <w:spacing w:val="0"/>
          <w:sz w:val="22"/>
          <w:szCs w:val="24"/>
          <w:rtl/>
        </w:rPr>
        <w:t>תוצרת</w:t>
      </w:r>
      <w:r w:rsidRPr="00A95802">
        <w:rPr>
          <w:rFonts w:ascii="Century" w:hAnsi="Century" w:cs="Miriam"/>
          <w:b/>
          <w:spacing w:val="0"/>
          <w:sz w:val="22"/>
          <w:szCs w:val="24"/>
          <w:rtl/>
        </w:rPr>
        <w:t xml:space="preserve"> </w:t>
      </w:r>
      <w:r w:rsidRPr="00A95802">
        <w:rPr>
          <w:rFonts w:ascii="Century" w:hAnsi="Century" w:cs="Miriam" w:hint="eastAsia"/>
          <w:b/>
          <w:spacing w:val="0"/>
          <w:sz w:val="22"/>
          <w:szCs w:val="24"/>
          <w:rtl/>
        </w:rPr>
        <w:t>חקלאית</w:t>
      </w:r>
      <w:r w:rsidRPr="00A95802">
        <w:rPr>
          <w:rFonts w:ascii="Century" w:hAnsi="Century" w:cs="Miriam"/>
          <w:b/>
          <w:spacing w:val="0"/>
          <w:sz w:val="22"/>
          <w:szCs w:val="24"/>
          <w:rtl/>
        </w:rPr>
        <w:t xml:space="preserve"> </w:t>
      </w:r>
      <w:r w:rsidRPr="00A95802">
        <w:rPr>
          <w:rFonts w:ascii="Century" w:hAnsi="Century" w:cs="Miriam" w:hint="eastAsia"/>
          <w:b/>
          <w:spacing w:val="0"/>
          <w:sz w:val="22"/>
          <w:szCs w:val="24"/>
          <w:rtl/>
        </w:rPr>
        <w:t>בישראל</w:t>
      </w:r>
      <w:r w:rsidRPr="00A95802">
        <w:rPr>
          <w:rFonts w:ascii="Century" w:hAnsi="Century" w:cs="Miriam"/>
          <w:b/>
          <w:spacing w:val="0"/>
          <w:sz w:val="22"/>
          <w:szCs w:val="24"/>
          <w:rtl/>
        </w:rPr>
        <w:t xml:space="preserve"> </w:t>
      </w:r>
      <w:r w:rsidRPr="00A95802">
        <w:rPr>
          <w:rFonts w:ascii="Century" w:hAnsi="Century" w:cs="Miriam" w:hint="eastAsia"/>
          <w:b/>
          <w:spacing w:val="0"/>
          <w:sz w:val="22"/>
          <w:szCs w:val="24"/>
          <w:rtl/>
        </w:rPr>
        <w:t>בע</w:t>
      </w:r>
      <w:r w:rsidRPr="00A95802">
        <w:rPr>
          <w:rFonts w:ascii="Century" w:hAnsi="Century" w:cs="Miriam"/>
          <w:b/>
          <w:spacing w:val="0"/>
          <w:sz w:val="22"/>
          <w:szCs w:val="24"/>
          <w:rtl/>
        </w:rPr>
        <w:t>"</w:t>
      </w:r>
      <w:r w:rsidRPr="00A95802">
        <w:rPr>
          <w:rFonts w:ascii="Century" w:hAnsi="Century" w:cs="Miriam" w:hint="eastAsia"/>
          <w:b/>
          <w:spacing w:val="0"/>
          <w:sz w:val="22"/>
          <w:szCs w:val="24"/>
          <w:rtl/>
        </w:rPr>
        <w:t>מ</w:t>
      </w:r>
      <w:r w:rsidRPr="00A95802">
        <w:rPr>
          <w:rFonts w:ascii="Century" w:hAnsi="Century" w:cs="Miriam"/>
          <w:b/>
          <w:spacing w:val="0"/>
          <w:sz w:val="22"/>
          <w:szCs w:val="24"/>
          <w:rtl/>
        </w:rPr>
        <w:t xml:space="preserve"> </w:t>
      </w:r>
      <w:r w:rsidRPr="00A95802">
        <w:rPr>
          <w:rFonts w:ascii="Century" w:hAnsi="Century" w:cs="Miriam" w:hint="eastAsia"/>
          <w:b/>
          <w:spacing w:val="0"/>
          <w:sz w:val="22"/>
          <w:szCs w:val="24"/>
          <w:rtl/>
        </w:rPr>
        <w:t>נ</w:t>
      </w:r>
      <w:r w:rsidRPr="00A95802">
        <w:rPr>
          <w:rFonts w:ascii="Century" w:hAnsi="Century" w:cs="Miriam"/>
          <w:b/>
          <w:spacing w:val="0"/>
          <w:sz w:val="22"/>
          <w:szCs w:val="24"/>
          <w:rtl/>
        </w:rPr>
        <w:t xml:space="preserve">' </w:t>
      </w:r>
      <w:r w:rsidRPr="00A95802">
        <w:rPr>
          <w:rFonts w:ascii="Century" w:hAnsi="Century" w:cs="Miriam" w:hint="eastAsia"/>
          <w:b/>
          <w:spacing w:val="0"/>
          <w:sz w:val="22"/>
          <w:szCs w:val="24"/>
          <w:rtl/>
        </w:rPr>
        <w:t>שר</w:t>
      </w:r>
      <w:r w:rsidRPr="00A95802">
        <w:rPr>
          <w:rFonts w:ascii="Century" w:hAnsi="Century" w:cs="Miriam"/>
          <w:b/>
          <w:spacing w:val="0"/>
          <w:sz w:val="22"/>
          <w:szCs w:val="24"/>
          <w:rtl/>
        </w:rPr>
        <w:t xml:space="preserve"> </w:t>
      </w:r>
      <w:r w:rsidRPr="00A95802">
        <w:rPr>
          <w:rFonts w:ascii="Century" w:hAnsi="Century" w:cs="Miriam" w:hint="eastAsia"/>
          <w:b/>
          <w:spacing w:val="0"/>
          <w:sz w:val="22"/>
          <w:szCs w:val="24"/>
          <w:rtl/>
        </w:rPr>
        <w:t>האוצר</w:t>
      </w:r>
      <w:r w:rsidRPr="00A95802">
        <w:rPr>
          <w:rtl/>
        </w:rPr>
        <w:t xml:space="preserve"> (</w:t>
      </w:r>
      <w:r w:rsidRPr="00A95802">
        <w:rPr>
          <w:rFonts w:hint="eastAsia"/>
          <w:rtl/>
        </w:rPr>
        <w:t>‏</w:t>
      </w:r>
      <w:r w:rsidRPr="00A95802">
        <w:rPr>
          <w:rtl/>
        </w:rPr>
        <w:t>4.3.2019)</w:t>
      </w:r>
      <w:r w:rsidRPr="00BB706C">
        <w:rPr>
          <w:rFonts w:hint="cs"/>
          <w:rtl/>
        </w:rPr>
        <w:t>).</w:t>
      </w:r>
      <w:r>
        <w:rPr>
          <w:rFonts w:hint="cs"/>
          <w:rtl/>
        </w:rPr>
        <w:t xml:space="preserve"> לנוכח התוצאה במקרה דנן, בהיעדר בקשה לייצוג עצמאי מטעמו של שר הביטחון,  ובהינתן סד הזמנים הדוחק </w:t>
      </w:r>
      <w:r>
        <w:rPr>
          <w:rtl/>
        </w:rPr>
        <w:t>–</w:t>
      </w:r>
      <w:r>
        <w:rPr>
          <w:rFonts w:hint="cs"/>
          <w:rtl/>
        </w:rPr>
        <w:t xml:space="preserve"> איני רואה לנכון להידרש לסוגיה זו מעבר לכך.</w:t>
      </w:r>
    </w:p>
    <w:p w14:paraId="1800F13C" w14:textId="320C41F8" w:rsidR="00BB706C" w:rsidRPr="00817FB3" w:rsidRDefault="00BB706C" w:rsidP="00DF3CE6">
      <w:pPr>
        <w:pStyle w:val="Ruller4"/>
        <w:numPr>
          <w:ilvl w:val="0"/>
          <w:numId w:val="0"/>
        </w:numPr>
      </w:pPr>
    </w:p>
    <w:p w14:paraId="33423BFE" w14:textId="77777777" w:rsidR="00D31C7C" w:rsidRPr="004776CB" w:rsidRDefault="00D31C7C" w:rsidP="000B7EDA">
      <w:pPr>
        <w:tabs>
          <w:tab w:val="left" w:pos="800"/>
        </w:tabs>
        <w:spacing w:line="360" w:lineRule="auto"/>
        <w:jc w:val="both"/>
        <w:rPr>
          <w:rFonts w:ascii="Arial TUR" w:hAnsi="Arial TUR"/>
          <w:sz w:val="22"/>
          <w:rtl/>
        </w:rPr>
      </w:pPr>
    </w:p>
    <w:tbl>
      <w:tblPr>
        <w:bidiVisual/>
        <w:tblW w:w="0" w:type="auto"/>
        <w:tblLook w:val="01E0" w:firstRow="1" w:lastRow="1" w:firstColumn="1" w:lastColumn="1" w:noHBand="0" w:noVBand="0"/>
      </w:tblPr>
      <w:tblGrid>
        <w:gridCol w:w="2769"/>
        <w:gridCol w:w="2769"/>
        <w:gridCol w:w="2774"/>
      </w:tblGrid>
      <w:tr w:rsidR="00B409AD" w:rsidRPr="004776CB" w14:paraId="3C0DF754" w14:textId="77777777" w:rsidTr="000B7EDA">
        <w:tc>
          <w:tcPr>
            <w:tcW w:w="2769" w:type="dxa"/>
            <w:shd w:val="clear" w:color="auto" w:fill="auto"/>
          </w:tcPr>
          <w:p w14:paraId="00764F13" w14:textId="531B5100" w:rsidR="00B409AD" w:rsidRPr="004776CB" w:rsidRDefault="00B409AD">
            <w:pPr>
              <w:pStyle w:val="Ruller40"/>
              <w:rPr>
                <w:rtl/>
              </w:rPr>
            </w:pPr>
            <w:r w:rsidRPr="004776CB">
              <w:rPr>
                <w:rFonts w:hint="cs"/>
                <w:rtl/>
              </w:rPr>
              <w:t xml:space="preserve">  </w:t>
            </w:r>
          </w:p>
        </w:tc>
        <w:tc>
          <w:tcPr>
            <w:tcW w:w="2769" w:type="dxa"/>
            <w:shd w:val="clear" w:color="auto" w:fill="auto"/>
          </w:tcPr>
          <w:p w14:paraId="55C4418D" w14:textId="77777777" w:rsidR="00B409AD" w:rsidRPr="004776CB" w:rsidRDefault="00B409AD">
            <w:pPr>
              <w:pStyle w:val="Ruller40"/>
              <w:rPr>
                <w:rtl/>
              </w:rPr>
            </w:pPr>
          </w:p>
        </w:tc>
        <w:tc>
          <w:tcPr>
            <w:tcW w:w="2774" w:type="dxa"/>
            <w:shd w:val="clear" w:color="auto" w:fill="auto"/>
          </w:tcPr>
          <w:p w14:paraId="65139A29" w14:textId="77777777" w:rsidR="00B409AD" w:rsidRPr="004776CB" w:rsidRDefault="00B409AD">
            <w:pPr>
              <w:pStyle w:val="Ruller40"/>
              <w:rPr>
                <w:rtl/>
              </w:rPr>
            </w:pPr>
            <w:r w:rsidRPr="004776CB">
              <w:rPr>
                <w:rtl/>
              </w:rPr>
              <w:t>ש ו פ ט</w:t>
            </w:r>
          </w:p>
        </w:tc>
      </w:tr>
    </w:tbl>
    <w:p w14:paraId="7ED62296" w14:textId="72A207D5" w:rsidR="00B409AD" w:rsidRDefault="00B409AD" w:rsidP="0058350C">
      <w:pPr>
        <w:tabs>
          <w:tab w:val="left" w:pos="800"/>
        </w:tabs>
        <w:spacing w:line="480" w:lineRule="auto"/>
        <w:jc w:val="both"/>
        <w:rPr>
          <w:rFonts w:ascii="Arial TUR" w:hAnsi="Arial TUR"/>
          <w:sz w:val="22"/>
          <w:rtl/>
        </w:rPr>
      </w:pPr>
    </w:p>
    <w:p w14:paraId="4DFD794A" w14:textId="77777777" w:rsidR="00DF3CE6" w:rsidRDefault="00DF3CE6" w:rsidP="000B7EDA">
      <w:pPr>
        <w:tabs>
          <w:tab w:val="left" w:pos="800"/>
        </w:tabs>
        <w:jc w:val="both"/>
        <w:rPr>
          <w:rFonts w:cs="Miriam"/>
          <w:u w:val="single"/>
          <w:rtl/>
        </w:rPr>
      </w:pPr>
    </w:p>
    <w:p w14:paraId="0FC92EFF" w14:textId="77777777" w:rsidR="00DF3CE6" w:rsidRDefault="00DF3CE6" w:rsidP="000B7EDA">
      <w:pPr>
        <w:tabs>
          <w:tab w:val="left" w:pos="800"/>
        </w:tabs>
        <w:jc w:val="both"/>
        <w:rPr>
          <w:rFonts w:cs="Miriam"/>
          <w:u w:val="single"/>
          <w:rtl/>
        </w:rPr>
      </w:pPr>
    </w:p>
    <w:p w14:paraId="3279DCC6" w14:textId="7992CCD6" w:rsidR="000B7EDA" w:rsidRPr="004776CB" w:rsidRDefault="000B7EDA" w:rsidP="000B7EDA">
      <w:pPr>
        <w:tabs>
          <w:tab w:val="left" w:pos="800"/>
        </w:tabs>
        <w:jc w:val="both"/>
        <w:rPr>
          <w:rFonts w:cs="Miriam"/>
          <w:rtl/>
        </w:rPr>
      </w:pPr>
      <w:r w:rsidRPr="004776CB">
        <w:rPr>
          <w:rFonts w:cs="Miriam" w:hint="cs"/>
          <w:u w:val="single"/>
          <w:rtl/>
        </w:rPr>
        <w:t>השופטת</w:t>
      </w:r>
      <w:r>
        <w:rPr>
          <w:rFonts w:cs="Miriam" w:hint="cs"/>
          <w:u w:val="single"/>
          <w:rtl/>
        </w:rPr>
        <w:t xml:space="preserve"> י' וילנר</w:t>
      </w:r>
      <w:r w:rsidRPr="004776CB">
        <w:rPr>
          <w:rFonts w:cs="Miriam" w:hint="cs"/>
          <w:rtl/>
        </w:rPr>
        <w:t>:</w:t>
      </w:r>
    </w:p>
    <w:p w14:paraId="08176B07" w14:textId="77777777" w:rsidR="000B7EDA" w:rsidRDefault="000B7EDA" w:rsidP="000B7EDA">
      <w:pPr>
        <w:tabs>
          <w:tab w:val="left" w:pos="800"/>
        </w:tabs>
        <w:jc w:val="both"/>
        <w:rPr>
          <w:rFonts w:ascii="Arial TUR" w:hAnsi="Arial TUR"/>
          <w:sz w:val="22"/>
          <w:rtl/>
        </w:rPr>
      </w:pPr>
      <w:r w:rsidRPr="004776CB">
        <w:rPr>
          <w:rFonts w:ascii="Arial TUR" w:hAnsi="Arial TUR" w:hint="cs"/>
          <w:sz w:val="22"/>
          <w:rtl/>
        </w:rPr>
        <w:tab/>
      </w:r>
    </w:p>
    <w:p w14:paraId="0571AFE2" w14:textId="77777777" w:rsidR="000B7EDA" w:rsidRDefault="000B7EDA" w:rsidP="000B7EDA">
      <w:pPr>
        <w:tabs>
          <w:tab w:val="left" w:pos="800"/>
        </w:tabs>
        <w:jc w:val="both"/>
        <w:rPr>
          <w:rFonts w:ascii="Arial TUR" w:hAnsi="Arial TUR"/>
          <w:sz w:val="22"/>
          <w:rtl/>
        </w:rPr>
      </w:pPr>
    </w:p>
    <w:p w14:paraId="75751763" w14:textId="77777777" w:rsidR="000B7EDA" w:rsidRDefault="000B7EDA" w:rsidP="000B7EDA">
      <w:pPr>
        <w:pStyle w:val="Ruller40"/>
        <w:rPr>
          <w:rtl/>
        </w:rPr>
      </w:pPr>
      <w:r>
        <w:rPr>
          <w:rtl/>
        </w:rPr>
        <w:t>1.</w:t>
      </w:r>
      <w:r>
        <w:rPr>
          <w:rtl/>
        </w:rPr>
        <w:tab/>
        <w:t>אף אני מסכימה כי יש לקבל את העתירה שלפנינו, מהטעמים הבאים.</w:t>
      </w:r>
    </w:p>
    <w:p w14:paraId="280F2A33" w14:textId="77777777" w:rsidR="000B7EDA" w:rsidRDefault="000B7EDA" w:rsidP="000B7EDA">
      <w:pPr>
        <w:pStyle w:val="Ruller40"/>
        <w:spacing w:line="240" w:lineRule="auto"/>
        <w:rPr>
          <w:rtl/>
        </w:rPr>
      </w:pPr>
    </w:p>
    <w:p w14:paraId="68D2BC78" w14:textId="77777777" w:rsidR="000B7EDA" w:rsidRDefault="000B7EDA" w:rsidP="000B7EDA">
      <w:pPr>
        <w:pStyle w:val="Ruller40"/>
        <w:rPr>
          <w:rFonts w:ascii="Century" w:hAnsi="Century"/>
          <w:rtl/>
        </w:rPr>
      </w:pPr>
      <w:r>
        <w:rPr>
          <w:rtl/>
        </w:rPr>
        <w:t>2.</w:t>
      </w:r>
      <w:r>
        <w:rPr>
          <w:rtl/>
        </w:rPr>
        <w:tab/>
        <w:t xml:space="preserve">בפסק דינו של בית משפט זה בבג"ץ 3052/19 </w:t>
      </w:r>
      <w:r>
        <w:rPr>
          <w:rFonts w:ascii="Century" w:hAnsi="Century" w:cs="Miriam"/>
          <w:b/>
          <w:spacing w:val="0"/>
          <w:szCs w:val="24"/>
          <w:rtl/>
        </w:rPr>
        <w:t xml:space="preserve">לוחמים לשלום בע"מ נ' שר הביטחון </w:t>
      </w:r>
      <w:r>
        <w:rPr>
          <w:rFonts w:ascii="Century" w:hAnsi="Century"/>
          <w:rtl/>
        </w:rPr>
        <w:t xml:space="preserve">(6.5.2019) (להלן: </w:t>
      </w:r>
      <w:r>
        <w:rPr>
          <w:rFonts w:ascii="Century" w:hAnsi="Century" w:cs="Miriam"/>
          <w:b/>
          <w:spacing w:val="0"/>
          <w:szCs w:val="24"/>
          <w:rtl/>
        </w:rPr>
        <w:t>פסק הדין משנת 2019</w:t>
      </w:r>
      <w:r>
        <w:rPr>
          <w:rFonts w:ascii="Century" w:hAnsi="Century"/>
          <w:rtl/>
        </w:rPr>
        <w:t xml:space="preserve">) נקבע, כי על שר הביטחון דאז לאפשר מתן היתרי כניסה למדינת ישראל ל-100 פלסטינים תושבי האזור, לצורך השתתפות בטקס זיכרון משותף לישראלים ולפלסטינים, בכפוף להיעדר מניעה ביטחונית פרטנית. בפסק הדין בוטלה החלטת שר הביטחון דאז, שלא לאפשר מתן היתרים כאמור, אשר נשענה על שני טעמים – קיומו של סגר באזור במועד הרלוונטי, והידרדרות ביטחונית שארעה מספר ימים עובר לדיון בעתירה שם. בפסק הדין נקבע, כי ההידרדרות הביטחונית התרחשה לאחר שכבר ניתנה החלטת שר הביטחון בנושא, ומשכך אינה יכולה לשמש הצדקה להחלטה זו. אשר לסגר, צוין כי ממילא מוחרגות ממנו קבוצות אוכלוסייה המונות אלפי בני אדם; ונפסק כי לנוכח האמור, ובשים לב לפסק הדין בבג"ץ 2964/18 </w:t>
      </w:r>
      <w:r>
        <w:rPr>
          <w:rFonts w:ascii="Century" w:hAnsi="Century" w:cs="Miriam"/>
          <w:b/>
          <w:spacing w:val="0"/>
          <w:szCs w:val="24"/>
          <w:rtl/>
        </w:rPr>
        <w:t xml:space="preserve">חוג ההורים פורום המשפחות, משפחות שכולות למען שלום נ' שר הביטחון </w:t>
      </w:r>
      <w:r>
        <w:rPr>
          <w:rFonts w:ascii="Century" w:hAnsi="Century"/>
          <w:rtl/>
        </w:rPr>
        <w:t xml:space="preserve">(17.4.2018) (להלן: </w:t>
      </w:r>
      <w:r>
        <w:rPr>
          <w:rFonts w:ascii="Century" w:hAnsi="Century" w:cs="Miriam"/>
          <w:b/>
          <w:spacing w:val="0"/>
          <w:szCs w:val="24"/>
          <w:rtl/>
        </w:rPr>
        <w:t>פסק הדין משנת 2018</w:t>
      </w:r>
      <w:r>
        <w:rPr>
          <w:rFonts w:ascii="Century" w:hAnsi="Century"/>
          <w:rtl/>
        </w:rPr>
        <w:t>), החלטת שר הביטחון דאז אינה יכולה לעמוד.</w:t>
      </w:r>
    </w:p>
    <w:p w14:paraId="77952E8B" w14:textId="77777777" w:rsidR="000B7EDA" w:rsidRDefault="000B7EDA" w:rsidP="000B7EDA">
      <w:pPr>
        <w:pStyle w:val="Ruller40"/>
        <w:spacing w:line="240" w:lineRule="auto"/>
        <w:rPr>
          <w:rFonts w:ascii="Century" w:hAnsi="Century"/>
          <w:rtl/>
        </w:rPr>
      </w:pPr>
    </w:p>
    <w:p w14:paraId="31277A5E" w14:textId="77777777" w:rsidR="000B7EDA" w:rsidRDefault="000B7EDA" w:rsidP="000B7EDA">
      <w:pPr>
        <w:pStyle w:val="Ruller40"/>
        <w:rPr>
          <w:rFonts w:ascii="Century" w:hAnsi="Century"/>
          <w:rtl/>
        </w:rPr>
      </w:pPr>
      <w:r>
        <w:rPr>
          <w:rFonts w:ascii="Century" w:hAnsi="Century"/>
          <w:rtl/>
        </w:rPr>
        <w:t>3.</w:t>
      </w:r>
      <w:r>
        <w:rPr>
          <w:rFonts w:ascii="Century" w:hAnsi="Century"/>
          <w:rtl/>
        </w:rPr>
        <w:tab/>
        <w:t>אף העתירה שלפנינו תוקפת החלטה של שר הביטחון, שלא לאפשר מתן היתרי כניסה לישראל לתושבים פלסטיניים, שהוזמנו לקחת חלק בטקס המשותף לישראלים ולפלסטינים ביום הזיכרון. לפי תגובת המדינה לעתירה, החלטת השר ניתנה בשל המציאות הביטחונית הנוכחית באזור והסגר הצפוי במועד הרלוונטי. בתגובת המדינה, אשר מיוצגת על-ידי ב"כ היועצת המשפטית לממשלה, צוין כי החלטתו הנדונה של שר הביטחון אינה נתמכת בתשתית עובדתית-מקצועית, שמלמדת על שינוי בנסיבות שניצבו ברקע לפסקי הדין משנת 2018 ומשנת 2019, שבגדרם בוטלו כאמור החלטות דומות של שרי ביטחון בסוגיה דנן. בהינתן האמור, לעמדת הייעוץ המשפטי לממשלה לא קמה הצדקה לסטות מהקביעות בפסקי הדין משנת 2018 ומשנת 2019, ולמנוע את כניסת הפלסטינים המוזמנים לטקס, בכפוף לבדיקה ביטחונית פרטנית.</w:t>
      </w:r>
    </w:p>
    <w:p w14:paraId="528E22F7" w14:textId="77777777" w:rsidR="000B7EDA" w:rsidRDefault="000B7EDA" w:rsidP="000B7EDA">
      <w:pPr>
        <w:pStyle w:val="Ruller40"/>
        <w:spacing w:line="240" w:lineRule="auto"/>
        <w:rPr>
          <w:rFonts w:ascii="Century" w:hAnsi="Century"/>
          <w:rtl/>
        </w:rPr>
      </w:pPr>
    </w:p>
    <w:p w14:paraId="31E04E20" w14:textId="77777777" w:rsidR="000B7EDA" w:rsidRDefault="000B7EDA" w:rsidP="000B7EDA">
      <w:pPr>
        <w:pStyle w:val="Ruller40"/>
        <w:rPr>
          <w:rFonts w:ascii="Century" w:hAnsi="Century"/>
          <w:rtl/>
        </w:rPr>
      </w:pPr>
      <w:r>
        <w:rPr>
          <w:rFonts w:ascii="Century" w:hAnsi="Century"/>
          <w:rtl/>
        </w:rPr>
        <w:t>4.</w:t>
      </w:r>
      <w:r>
        <w:rPr>
          <w:rFonts w:ascii="Century" w:hAnsi="Century"/>
          <w:rtl/>
        </w:rPr>
        <w:tab/>
        <w:t xml:space="preserve">למרות עמדה זו של הייעוץ המשפטי לממשלה, וחרף המלצת הגורמים המקצועיים – מתאם פעולות הממשלה בשטחים – לאשר את בקשת העותרים (פס' 4 לתגובת המדינה לעתירה), שר הביטחון בחר שלא להציג לפנינו את עמדתו-הוא, על שיקוליו ונימוקיו. בתוך כך, השר אף נמנע מלטעון לפנינו מהו שינוי הנסיבות אשר מצדיק, לגישתו, למנוע בעת הזו את כניסת הפלסטינים המוזמנים לטקס המשותף, בשים לב לקביעות בפסקי הדין שניתנו בסוגיה, ולנסות לשכנענו כי זו הפעם יש להותיר את ההחלטה על כנה. זאת, אף על פי שכידוע, וכפי שכבר צוין בפסיקתו של בית משפט זה, </w:t>
      </w:r>
      <w:r>
        <w:rPr>
          <w:rtl/>
        </w:rPr>
        <w:t>"במצבים – החריגים למדי – שבהם היועץ המשפטי לממשלה אינו נכון להגן על עמדת הממשלה, או אחד מחבריה, ניצבות לפני הרשות מספר חלופות. היא עשויה להסתפק בהצגת עמדתה לפני בית המשפט על ידי היועץ המשפטי לממשלה; לעתור לקבלת ייצוג נפרד ועצמאי; או לצעוד בדרך ביניים ולבקש להציג בעצמה את עמדתה</w:t>
      </w:r>
      <w:r>
        <w:rPr>
          <w:rFonts w:ascii="Century" w:hAnsi="Century"/>
          <w:rtl/>
        </w:rPr>
        <w:t xml:space="preserve">" (בג"ץ 5769/18 </w:t>
      </w:r>
      <w:proofErr w:type="spellStart"/>
      <w:r>
        <w:rPr>
          <w:rFonts w:ascii="Century" w:hAnsi="Century" w:cs="Miriam"/>
          <w:b/>
          <w:spacing w:val="0"/>
          <w:szCs w:val="24"/>
          <w:rtl/>
        </w:rPr>
        <w:t>אמיתי</w:t>
      </w:r>
      <w:proofErr w:type="spellEnd"/>
      <w:r>
        <w:rPr>
          <w:rFonts w:ascii="Century" w:hAnsi="Century" w:cs="Miriam"/>
          <w:b/>
          <w:spacing w:val="0"/>
          <w:szCs w:val="24"/>
          <w:rtl/>
        </w:rPr>
        <w:t xml:space="preserve"> נ' שר המדע והטכנולוגיה</w:t>
      </w:r>
      <w:r>
        <w:rPr>
          <w:rFonts w:ascii="Century" w:hAnsi="Century"/>
          <w:rtl/>
        </w:rPr>
        <w:t xml:space="preserve">, פס' 19 לפסק דינו של השופט </w:t>
      </w:r>
      <w:r>
        <w:rPr>
          <w:rFonts w:ascii="Century" w:hAnsi="Century" w:cs="Miriam"/>
          <w:b/>
          <w:spacing w:val="0"/>
          <w:szCs w:val="24"/>
          <w:rtl/>
        </w:rPr>
        <w:t>נ' הנדל</w:t>
      </w:r>
      <w:r>
        <w:rPr>
          <w:rFonts w:ascii="Century" w:hAnsi="Century"/>
          <w:rtl/>
        </w:rPr>
        <w:t xml:space="preserve"> (4.3.2019)). שר הביטחון בחר, כאמור, וטעמיו עמו, שלא לנקוט באף אחת מן הדרכים האמורות, והדבר אומר דרשני. </w:t>
      </w:r>
    </w:p>
    <w:p w14:paraId="0521E6CA" w14:textId="77777777" w:rsidR="000B7EDA" w:rsidRDefault="000B7EDA" w:rsidP="000B7EDA">
      <w:pPr>
        <w:pStyle w:val="Ruller40"/>
        <w:spacing w:line="240" w:lineRule="auto"/>
        <w:rPr>
          <w:rFonts w:ascii="Century" w:hAnsi="Century"/>
          <w:rtl/>
        </w:rPr>
      </w:pPr>
    </w:p>
    <w:p w14:paraId="009F799A" w14:textId="77777777" w:rsidR="000B7EDA" w:rsidRDefault="000B7EDA" w:rsidP="000B7EDA">
      <w:pPr>
        <w:pStyle w:val="Ruller40"/>
        <w:rPr>
          <w:rFonts w:ascii="Century" w:hAnsi="Century"/>
          <w:rtl/>
        </w:rPr>
      </w:pPr>
      <w:r>
        <w:rPr>
          <w:rFonts w:ascii="Century" w:hAnsi="Century"/>
          <w:rtl/>
        </w:rPr>
        <w:t>5.</w:t>
      </w:r>
      <w:r>
        <w:rPr>
          <w:rFonts w:ascii="Century" w:hAnsi="Century"/>
          <w:rtl/>
        </w:rPr>
        <w:tab/>
        <w:t xml:space="preserve">כשלעצמי, אציין כי התוצאה שאליה הגיע בית משפט זה בפסקי הדין בנושא הנדון, אינה מובנת מאליה. ואולם, כפי שציינתי באחת מן הפרשות, אני סבורה כי </w:t>
      </w:r>
      <w:r>
        <w:rPr>
          <w:rtl/>
        </w:rPr>
        <w:t>"יש חשיבות רבה לכך שבית משפט זה ידבר בקול אחד לאחר שנקבעה הלכה, לטובת שמירה על ודאות ועל יציבות ההלכה, לא כל שכן בסוגיות עקרוניות</w:t>
      </w:r>
      <w:r>
        <w:rPr>
          <w:rFonts w:ascii="Century" w:hAnsi="Century"/>
          <w:rtl/>
        </w:rPr>
        <w:t xml:space="preserve"> [...] פן נתנהל כ'בית שופטים', אשר מספר דעותיו כמספר חבריו" (ע"ב 6668/22 </w:t>
      </w:r>
      <w:r>
        <w:rPr>
          <w:rFonts w:ascii="Century" w:hAnsi="Century" w:cs="Miriam"/>
          <w:b/>
          <w:spacing w:val="0"/>
          <w:szCs w:val="24"/>
          <w:rtl/>
        </w:rPr>
        <w:t>בל"ד ברית לאומית דמוקרטית נ' ועדת הבחירות המרכזית לכנסת ה-25</w:t>
      </w:r>
      <w:r>
        <w:rPr>
          <w:rFonts w:ascii="Century" w:hAnsi="Century"/>
          <w:rtl/>
        </w:rPr>
        <w:t xml:space="preserve">, פס' 13 לחוות דעתי (9.10.2022)). לפיכך, בהיעדר הנמקה מבוררת מצד שר הביטחון לסטייה מפסקי הדין הרלוונטיים, אין מנוס אלא ללכת בתלם שנחרש זה לא מכבר בפסיקתו של בית משפט זה בסוגיה הנדונה, ולקבל את העתירה שלפנינו. הנני מסכימה אפוא להוצאת צו מוחלט, כאמור בפסק דינו של חברי, השופט </w:t>
      </w:r>
      <w:r>
        <w:rPr>
          <w:rFonts w:ascii="Century" w:hAnsi="Century" w:cs="Miriam"/>
          <w:b/>
          <w:spacing w:val="0"/>
          <w:szCs w:val="24"/>
          <w:rtl/>
        </w:rPr>
        <w:t>י' עמית</w:t>
      </w:r>
      <w:r>
        <w:rPr>
          <w:rFonts w:ascii="Century" w:hAnsi="Century"/>
          <w:rtl/>
        </w:rPr>
        <w:t>.</w:t>
      </w:r>
    </w:p>
    <w:p w14:paraId="2A375582" w14:textId="77777777" w:rsidR="000B7EDA" w:rsidRDefault="000B7EDA" w:rsidP="000B7EDA">
      <w:pPr>
        <w:pStyle w:val="Ruller40"/>
        <w:spacing w:line="480" w:lineRule="auto"/>
        <w:rPr>
          <w:rFonts w:ascii="Century" w:hAnsi="Century"/>
          <w:rtl/>
        </w:rPr>
      </w:pPr>
      <w:r>
        <w:rPr>
          <w:rFonts w:ascii="Century" w:hAnsi="Century"/>
          <w:rtl/>
        </w:rPr>
        <w:tab/>
      </w:r>
    </w:p>
    <w:p w14:paraId="27D8292E" w14:textId="77777777" w:rsidR="000B7EDA" w:rsidRPr="004776CB" w:rsidRDefault="000B7EDA" w:rsidP="000B7EDA">
      <w:pPr>
        <w:tabs>
          <w:tab w:val="left" w:pos="800"/>
        </w:tabs>
        <w:jc w:val="both"/>
        <w:rPr>
          <w:rFonts w:ascii="Arial TUR" w:hAnsi="Arial TUR"/>
          <w:sz w:val="22"/>
          <w:rtl/>
        </w:rPr>
      </w:pPr>
    </w:p>
    <w:tbl>
      <w:tblPr>
        <w:bidiVisual/>
        <w:tblW w:w="0" w:type="auto"/>
        <w:tblLook w:val="01E0" w:firstRow="1" w:lastRow="1" w:firstColumn="1" w:lastColumn="1" w:noHBand="0" w:noVBand="0"/>
      </w:tblPr>
      <w:tblGrid>
        <w:gridCol w:w="2769"/>
        <w:gridCol w:w="2769"/>
        <w:gridCol w:w="2774"/>
      </w:tblGrid>
      <w:tr w:rsidR="000B7EDA" w:rsidRPr="004776CB" w14:paraId="1428961D" w14:textId="77777777" w:rsidTr="00125B38">
        <w:tc>
          <w:tcPr>
            <w:tcW w:w="2842" w:type="dxa"/>
            <w:shd w:val="clear" w:color="auto" w:fill="auto"/>
          </w:tcPr>
          <w:p w14:paraId="2AB09218" w14:textId="77777777" w:rsidR="000B7EDA" w:rsidRPr="004776CB" w:rsidRDefault="000B7EDA" w:rsidP="00125B38">
            <w:pPr>
              <w:pStyle w:val="Ruller40"/>
              <w:rPr>
                <w:rtl/>
              </w:rPr>
            </w:pPr>
          </w:p>
        </w:tc>
        <w:tc>
          <w:tcPr>
            <w:tcW w:w="2843" w:type="dxa"/>
            <w:shd w:val="clear" w:color="auto" w:fill="auto"/>
          </w:tcPr>
          <w:p w14:paraId="52E16807" w14:textId="77777777" w:rsidR="000B7EDA" w:rsidRPr="004776CB" w:rsidRDefault="000B7EDA" w:rsidP="00125B38">
            <w:pPr>
              <w:pStyle w:val="Ruller40"/>
              <w:rPr>
                <w:rtl/>
              </w:rPr>
            </w:pPr>
          </w:p>
        </w:tc>
        <w:tc>
          <w:tcPr>
            <w:tcW w:w="2843" w:type="dxa"/>
            <w:shd w:val="clear" w:color="auto" w:fill="auto"/>
          </w:tcPr>
          <w:p w14:paraId="2C60AF0F" w14:textId="77777777" w:rsidR="000B7EDA" w:rsidRPr="004776CB" w:rsidRDefault="000B7EDA" w:rsidP="00125B38">
            <w:pPr>
              <w:pStyle w:val="Ruller40"/>
              <w:rPr>
                <w:rtl/>
              </w:rPr>
            </w:pPr>
            <w:r w:rsidRPr="004776CB">
              <w:rPr>
                <w:rtl/>
              </w:rPr>
              <w:t>ש ו פ ט</w:t>
            </w:r>
            <w:r w:rsidRPr="004776CB">
              <w:rPr>
                <w:rFonts w:hint="cs"/>
                <w:rtl/>
              </w:rPr>
              <w:t xml:space="preserve"> ת</w:t>
            </w:r>
          </w:p>
        </w:tc>
      </w:tr>
    </w:tbl>
    <w:p w14:paraId="74138AD5" w14:textId="77777777" w:rsidR="000B7EDA" w:rsidRPr="004776CB" w:rsidRDefault="000B7EDA" w:rsidP="000B7EDA">
      <w:pPr>
        <w:tabs>
          <w:tab w:val="left" w:pos="800"/>
        </w:tabs>
        <w:jc w:val="both"/>
        <w:rPr>
          <w:rFonts w:ascii="Arial TUR" w:hAnsi="Arial TUR"/>
          <w:sz w:val="22"/>
          <w:rtl/>
        </w:rPr>
      </w:pPr>
    </w:p>
    <w:p w14:paraId="4D136C17" w14:textId="77777777" w:rsidR="000B7EDA" w:rsidRPr="004776CB" w:rsidRDefault="000B7EDA" w:rsidP="0058350C">
      <w:pPr>
        <w:tabs>
          <w:tab w:val="left" w:pos="800"/>
        </w:tabs>
        <w:spacing w:line="480" w:lineRule="auto"/>
        <w:jc w:val="both"/>
        <w:rPr>
          <w:rFonts w:ascii="Arial TUR" w:hAnsi="Arial TUR"/>
          <w:sz w:val="22"/>
          <w:rtl/>
        </w:rPr>
      </w:pPr>
    </w:p>
    <w:p w14:paraId="43B56131" w14:textId="41456FBF" w:rsidR="00B409AD" w:rsidRPr="00377613" w:rsidRDefault="00B409AD" w:rsidP="001B74F2">
      <w:pPr>
        <w:pStyle w:val="Ruller40"/>
        <w:rPr>
          <w:rtl/>
        </w:rPr>
      </w:pPr>
      <w:r w:rsidRPr="00377613">
        <w:rPr>
          <w:rtl/>
        </w:rPr>
        <w:tab/>
      </w:r>
      <w:r w:rsidRPr="00377613">
        <w:rPr>
          <w:rFonts w:hint="cs"/>
          <w:rtl/>
        </w:rPr>
        <w:t xml:space="preserve">לפיכך הוחלט כאמור בפסק </w:t>
      </w:r>
      <w:r w:rsidR="001B74F2">
        <w:rPr>
          <w:rFonts w:hint="cs"/>
          <w:rtl/>
        </w:rPr>
        <w:t xml:space="preserve">הדין </w:t>
      </w:r>
      <w:r w:rsidRPr="00377613">
        <w:rPr>
          <w:rFonts w:hint="cs"/>
          <w:rtl/>
        </w:rPr>
        <w:t xml:space="preserve">של השופט </w:t>
      </w:r>
      <w:r w:rsidRPr="001B74F2">
        <w:rPr>
          <w:rFonts w:ascii="Century" w:hAnsi="Century" w:cs="Miriam" w:hint="cs"/>
          <w:b/>
          <w:spacing w:val="0"/>
          <w:szCs w:val="24"/>
          <w:rtl/>
        </w:rPr>
        <w:t>י' עמית</w:t>
      </w:r>
      <w:r w:rsidRPr="00377613">
        <w:rPr>
          <w:rFonts w:hint="cs"/>
          <w:rtl/>
        </w:rPr>
        <w:t xml:space="preserve">. </w:t>
      </w:r>
    </w:p>
    <w:p w14:paraId="205E649A" w14:textId="77777777" w:rsidR="00B409AD" w:rsidRPr="004776CB" w:rsidRDefault="00B409AD" w:rsidP="00B409AD">
      <w:pPr>
        <w:tabs>
          <w:tab w:val="left" w:pos="800"/>
        </w:tabs>
        <w:jc w:val="both"/>
        <w:rPr>
          <w:rFonts w:ascii="Arial TUR" w:hAnsi="Arial TUR"/>
          <w:sz w:val="22"/>
          <w:rtl/>
        </w:rPr>
      </w:pPr>
      <w:r>
        <w:rPr>
          <w:rFonts w:ascii="Arial TUR" w:hAnsi="Arial TUR" w:hint="cs"/>
          <w:sz w:val="22"/>
          <w:rtl/>
        </w:rPr>
        <w:t xml:space="preserve"> </w:t>
      </w:r>
    </w:p>
    <w:p w14:paraId="60462C94" w14:textId="77777777" w:rsidR="009E6C1F" w:rsidRPr="009E6C1F" w:rsidRDefault="00B409AD" w:rsidP="00B409AD">
      <w:pPr>
        <w:tabs>
          <w:tab w:val="left" w:pos="800"/>
        </w:tabs>
        <w:jc w:val="both"/>
        <w:rPr>
          <w:rFonts w:ascii="Century" w:hAnsi="Century"/>
          <w:rtl/>
        </w:rPr>
      </w:pPr>
      <w:r w:rsidRPr="004776CB">
        <w:rPr>
          <w:rFonts w:ascii="Arial TUR" w:hAnsi="Arial TUR" w:hint="cs"/>
          <w:sz w:val="22"/>
          <w:rtl/>
        </w:rPr>
        <w:tab/>
      </w:r>
      <w:bookmarkStart w:id="4" w:name="Writer_Name"/>
      <w:bookmarkEnd w:id="4"/>
    </w:p>
    <w:p w14:paraId="7F291249" w14:textId="77777777" w:rsidR="009E6C1F" w:rsidRPr="009E6C1F" w:rsidRDefault="009E6C1F" w:rsidP="009E6C1F">
      <w:pPr>
        <w:pStyle w:val="Ruller40"/>
        <w:rPr>
          <w:rFonts w:ascii="Century" w:hAnsi="Century"/>
          <w:rtl/>
        </w:rPr>
      </w:pPr>
      <w:r w:rsidRPr="009E6C1F">
        <w:rPr>
          <w:rFonts w:ascii="Century" w:hAnsi="Century"/>
          <w:rtl/>
        </w:rPr>
        <w:tab/>
        <w:t xml:space="preserve">ניתן היום, </w:t>
      </w:r>
      <w:r w:rsidRPr="009E6C1F">
        <w:rPr>
          <w:rFonts w:ascii="Century" w:hAnsi="Century" w:hint="eastAsia"/>
          <w:rtl/>
        </w:rPr>
        <w:t>‏ב</w:t>
      </w:r>
      <w:r w:rsidRPr="009E6C1F">
        <w:rPr>
          <w:rFonts w:ascii="Century" w:hAnsi="Century"/>
          <w:rtl/>
        </w:rPr>
        <w:t xml:space="preserve">' באייר </w:t>
      </w:r>
      <w:proofErr w:type="spellStart"/>
      <w:r w:rsidRPr="009E6C1F">
        <w:rPr>
          <w:rFonts w:ascii="Century" w:hAnsi="Century"/>
          <w:rtl/>
        </w:rPr>
        <w:t>התשפ"ג</w:t>
      </w:r>
      <w:proofErr w:type="spellEnd"/>
      <w:r w:rsidRPr="009E6C1F">
        <w:rPr>
          <w:rFonts w:ascii="Century" w:hAnsi="Century"/>
          <w:rtl/>
        </w:rPr>
        <w:t xml:space="preserve"> (</w:t>
      </w:r>
      <w:r w:rsidRPr="009E6C1F">
        <w:rPr>
          <w:rFonts w:ascii="Century" w:hAnsi="Century" w:hint="eastAsia"/>
          <w:rtl/>
        </w:rPr>
        <w:t>‏</w:t>
      </w:r>
      <w:r w:rsidRPr="009E6C1F">
        <w:rPr>
          <w:rFonts w:ascii="Century" w:hAnsi="Century"/>
          <w:rtl/>
        </w:rPr>
        <w:t>23.4.2023).</w:t>
      </w:r>
    </w:p>
    <w:p w14:paraId="65AF89A1" w14:textId="77777777" w:rsidR="00016EF1" w:rsidRDefault="00016EF1" w:rsidP="0058350C">
      <w:pPr>
        <w:pStyle w:val="Ruller40"/>
        <w:spacing w:line="480" w:lineRule="auto"/>
        <w:rPr>
          <w:rtl/>
        </w:rPr>
      </w:pPr>
      <w:bookmarkStart w:id="5" w:name="Start_Write"/>
      <w:bookmarkEnd w:id="5"/>
    </w:p>
    <w:p w14:paraId="1A3FE34C" w14:textId="77777777" w:rsidR="00B409AD" w:rsidRDefault="00B409AD" w:rsidP="00A51FAE">
      <w:pPr>
        <w:pStyle w:val="Ruller40"/>
        <w:rPr>
          <w:rtl/>
        </w:rPr>
      </w:pPr>
    </w:p>
    <w:tbl>
      <w:tblPr>
        <w:bidiVisual/>
        <w:tblW w:w="8363" w:type="dxa"/>
        <w:tblLook w:val="01E0" w:firstRow="1" w:lastRow="1" w:firstColumn="1" w:lastColumn="1" w:noHBand="0" w:noVBand="0"/>
      </w:tblPr>
      <w:tblGrid>
        <w:gridCol w:w="2787"/>
        <w:gridCol w:w="2788"/>
        <w:gridCol w:w="2788"/>
      </w:tblGrid>
      <w:tr w:rsidR="001A0164" w14:paraId="166E1F66" w14:textId="77777777" w:rsidTr="00D00B1D">
        <w:tc>
          <w:tcPr>
            <w:tcW w:w="2842" w:type="dxa"/>
            <w:shd w:val="clear" w:color="auto" w:fill="auto"/>
          </w:tcPr>
          <w:p w14:paraId="1FFF8D1D" w14:textId="77777777" w:rsidR="00016EF1" w:rsidRDefault="00A1437D" w:rsidP="00A51FAE">
            <w:pPr>
              <w:pStyle w:val="Ruller40"/>
              <w:rPr>
                <w:rtl/>
              </w:rPr>
            </w:pPr>
            <w:r>
              <w:rPr>
                <w:rtl/>
              </w:rPr>
              <w:t>ש ו פ ט</w:t>
            </w:r>
          </w:p>
        </w:tc>
        <w:tc>
          <w:tcPr>
            <w:tcW w:w="2843" w:type="dxa"/>
            <w:shd w:val="clear" w:color="auto" w:fill="auto"/>
          </w:tcPr>
          <w:p w14:paraId="29D55559" w14:textId="231DE992" w:rsidR="001A0164" w:rsidRDefault="00377613" w:rsidP="00377613">
            <w:pPr>
              <w:pStyle w:val="Ruller40"/>
              <w:rPr>
                <w:rtl/>
              </w:rPr>
            </w:pPr>
            <w:r>
              <w:rPr>
                <w:rFonts w:hint="cs"/>
                <w:rtl/>
              </w:rPr>
              <w:t xml:space="preserve">      </w:t>
            </w:r>
            <w:r w:rsidR="00A1437D">
              <w:rPr>
                <w:rtl/>
              </w:rPr>
              <w:t>ש ו פ ט ת</w:t>
            </w:r>
          </w:p>
        </w:tc>
        <w:tc>
          <w:tcPr>
            <w:tcW w:w="2843" w:type="dxa"/>
            <w:shd w:val="clear" w:color="auto" w:fill="auto"/>
          </w:tcPr>
          <w:p w14:paraId="7837F991" w14:textId="77777777" w:rsidR="001A0164" w:rsidRDefault="00A1437D" w:rsidP="00BA0B08">
            <w:pPr>
              <w:pStyle w:val="Ruller40"/>
              <w:jc w:val="center"/>
              <w:rPr>
                <w:rtl/>
              </w:rPr>
            </w:pPr>
            <w:r>
              <w:rPr>
                <w:rtl/>
              </w:rPr>
              <w:t>ש ו פ ט</w:t>
            </w:r>
          </w:p>
        </w:tc>
      </w:tr>
    </w:tbl>
    <w:p w14:paraId="19B738F0" w14:textId="77777777" w:rsidR="00B409AD" w:rsidRDefault="00B409AD" w:rsidP="0058350C">
      <w:pPr>
        <w:spacing w:line="480" w:lineRule="auto"/>
        <w:rPr>
          <w:szCs w:val="16"/>
          <w:rtl/>
        </w:rPr>
      </w:pPr>
    </w:p>
    <w:p w14:paraId="25102176" w14:textId="77777777" w:rsidR="00B409AD" w:rsidRDefault="00B409AD">
      <w:pPr>
        <w:rPr>
          <w:szCs w:val="16"/>
          <w:rtl/>
        </w:rPr>
      </w:pPr>
    </w:p>
    <w:p w14:paraId="76E07046" w14:textId="77777777" w:rsidR="00916FF8" w:rsidRDefault="00916FF8">
      <w:pPr>
        <w:rPr>
          <w:szCs w:val="16"/>
          <w:rtl/>
        </w:rPr>
      </w:pPr>
      <w:r>
        <w:rPr>
          <w:szCs w:val="16"/>
          <w:rtl/>
        </w:rPr>
        <w:t>_________________</w:t>
      </w:r>
      <w:r w:rsidR="00A12E0F">
        <w:rPr>
          <w:rFonts w:hint="cs"/>
          <w:szCs w:val="16"/>
          <w:rtl/>
        </w:rPr>
        <w:t>________</w:t>
      </w:r>
    </w:p>
    <w:p w14:paraId="1B40276A" w14:textId="77777777" w:rsidR="00916FF8" w:rsidRDefault="00591983" w:rsidP="00B009CC">
      <w:pPr>
        <w:pStyle w:val="Ruller38"/>
        <w:rPr>
          <w:rtl/>
        </w:rPr>
      </w:pPr>
      <w:r>
        <w:rPr>
          <w:sz w:val="16"/>
        </w:rPr>
        <w:t xml:space="preserve"> </w:t>
      </w:r>
      <w:r w:rsidR="00A12E0F">
        <w:rPr>
          <w:sz w:val="16"/>
        </w:rPr>
        <w:t xml:space="preserve">  </w:t>
      </w:r>
      <w:r w:rsidR="00A1437D">
        <w:rPr>
          <w:sz w:val="16"/>
        </w:rPr>
        <w:t xml:space="preserve">23030300_E05.docx   </w:t>
      </w:r>
      <w:r w:rsidR="00A1437D">
        <w:rPr>
          <w:sz w:val="16"/>
          <w:rtl/>
        </w:rPr>
        <w:t>סח</w:t>
      </w:r>
    </w:p>
    <w:p w14:paraId="0734DC43" w14:textId="77777777" w:rsidR="003F1F97" w:rsidRDefault="00591983" w:rsidP="009E6C1F">
      <w:pPr>
        <w:pStyle w:val="Ruller38"/>
        <w:rPr>
          <w:rtl/>
        </w:rPr>
      </w:pPr>
      <w:r>
        <w:rPr>
          <w:rtl/>
        </w:rPr>
        <w:t>מרכז מידע, טל'</w:t>
      </w:r>
      <w:r>
        <w:rPr>
          <w:rFonts w:hint="cs"/>
          <w:rtl/>
        </w:rPr>
        <w:t xml:space="preserve"> </w:t>
      </w:r>
      <w:r w:rsidR="00B63343">
        <w:rPr>
          <w:rFonts w:hint="cs"/>
          <w:rtl/>
        </w:rPr>
        <w:t>077</w:t>
      </w:r>
      <w:r>
        <w:rPr>
          <w:rFonts w:hint="cs"/>
          <w:rtl/>
        </w:rPr>
        <w:t>-</w:t>
      </w:r>
      <w:r w:rsidR="00B63343">
        <w:rPr>
          <w:rFonts w:hint="cs"/>
          <w:rtl/>
        </w:rPr>
        <w:t>270</w:t>
      </w:r>
      <w:r w:rsidR="00E21CA9">
        <w:rPr>
          <w:rFonts w:hint="cs"/>
          <w:rtl/>
        </w:rPr>
        <w:t>3</w:t>
      </w:r>
      <w:r w:rsidR="009B38DA">
        <w:rPr>
          <w:rFonts w:hint="cs"/>
          <w:rtl/>
        </w:rPr>
        <w:t>333</w:t>
      </w:r>
      <w:r w:rsidR="00866D0F">
        <w:rPr>
          <w:rFonts w:hint="cs"/>
          <w:rtl/>
        </w:rPr>
        <w:t>, 3852*</w:t>
      </w:r>
      <w:r>
        <w:rPr>
          <w:rFonts w:hint="cs"/>
          <w:rtl/>
        </w:rPr>
        <w:t xml:space="preserve"> ; אתר אינטרנט,  </w:t>
      </w:r>
      <w:hyperlink r:id="rId8" w:history="1">
        <w:r w:rsidR="00FC0252" w:rsidRPr="00BB4C68">
          <w:rPr>
            <w:rStyle w:val="Hyperlink"/>
            <w:sz w:val="16"/>
          </w:rPr>
          <w:t>https://supreme.court.gov.il</w:t>
        </w:r>
      </w:hyperlink>
    </w:p>
    <w:sectPr w:rsidR="003F1F97" w:rsidSect="00591983">
      <w:headerReference w:type="even" r:id="rId9"/>
      <w:headerReference w:type="default" r:id="rId10"/>
      <w:footerReference w:type="even" r:id="rId11"/>
      <w:headerReference w:type="first" r:id="rId12"/>
      <w:footerReference w:type="first" r:id="rId13"/>
      <w:endnotePr>
        <w:numFmt w:val="lowerLetter"/>
      </w:endnotePr>
      <w:pgSz w:w="11906" w:h="16838" w:code="9"/>
      <w:pgMar w:top="1134" w:right="1797" w:bottom="1440" w:left="1797" w:header="567" w:footer="397" w:gutter="0"/>
      <w:cols w:space="720"/>
      <w:titlePg/>
      <w:bidi/>
      <w:rtlGutter/>
    </w:sectPr>
  </w:body>
</w:document>
</file>

<file path=word/customizations.xml><?xml version="1.0" encoding="utf-8"?>
<wne:tcg xmlns:r="http://schemas.openxmlformats.org/officeDocument/2006/relationships" xmlns:wne="http://schemas.microsoft.com/office/word/2006/wordml">
  <wne:keymaps>
    <wne:keymap wne:kcmPrimary="0433">
      <wne:acd wne:acdName="acd0"/>
    </wne:keymap>
    <wne:keymap wne:kcmPrimary="0434">
      <wne:acd wne:acdName="acd1"/>
    </wne:keymap>
    <wne:keymap wne:kcmPrimary="0435">
      <wne:acd wne:acdName="acd2"/>
    </wne:keymap>
  </wne:keymaps>
  <wne:toolbars>
    <wne:acdManifest>
      <wne:acdEntry wne:acdName="acd0"/>
      <wne:acdEntry wne:acdName="acd1"/>
      <wne:acdEntry wne:acdName="acd2"/>
    </wne:acdManifest>
    <wne:toolbarData r:id="rId1"/>
  </wne:toolbars>
  <wne:acds>
    <wne:acd wne:argValue="AgBSAHUAbABsAGUAcgAgADMA" wne:acdName="acd0" wne:fciIndexBasedOn="0065"/>
    <wne:acd wne:argValue="AgBSAHUAbABsAGUAcgA0AA==" wne:acdName="acd1" wne:fciIndexBasedOn="0065"/>
    <wne:acd wne:argValue="AgBSAHUAbABsAGUAcgA1AA==" wne:acdName="acd2"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4955BD" w14:textId="77777777" w:rsidR="007F7512" w:rsidRDefault="007F7512">
      <w:r>
        <w:separator/>
      </w:r>
    </w:p>
  </w:endnote>
  <w:endnote w:type="continuationSeparator" w:id="0">
    <w:p w14:paraId="1F511770" w14:textId="77777777" w:rsidR="007F7512" w:rsidRDefault="007F75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Arial TUR">
    <w:altName w:val="Microsoft Sans Serif"/>
    <w:charset w:val="00"/>
    <w:family w:val="swiss"/>
    <w:pitch w:val="variable"/>
    <w:sig w:usb0="E0002EFF" w:usb1="C000785B" w:usb2="00000009" w:usb3="00000000" w:csb0="000001FF" w:csb1="00000000"/>
  </w:font>
  <w:font w:name="DavidFix">
    <w:charset w:val="B1"/>
    <w:family w:val="auto"/>
    <w:pitch w:val="variable"/>
    <w:sig w:usb0="00001801" w:usb1="00000000" w:usb2="00000000" w:usb3="00000000" w:csb0="00000020" w:csb1="00000000"/>
  </w:font>
  <w:font w:name="Guttman Yad">
    <w:panose1 w:val="02010401010101010101"/>
    <w:charset w:val="B1"/>
    <w:family w:val="auto"/>
    <w:pitch w:val="variable"/>
    <w:sig w:usb0="00000801" w:usb1="40000000" w:usb2="00000000" w:usb3="00000000" w:csb0="00000020"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Miriam">
    <w:panose1 w:val="020B0502050101010101"/>
    <w:charset w:val="00"/>
    <w:family w:val="swiss"/>
    <w:pitch w:val="variable"/>
    <w:sig w:usb0="00000803" w:usb1="00000000" w:usb2="00000000" w:usb3="00000000" w:csb0="00000021"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F682F8" w14:textId="77777777" w:rsidR="00377102" w:rsidRDefault="00377102">
    <w:pPr>
      <w:pStyle w:val="a3"/>
      <w:framePr w:wrap="around" w:vAnchor="text" w:hAnchor="margin" w:xAlign="center" w:y="1"/>
      <w:rPr>
        <w:rStyle w:val="a4"/>
        <w:rtl/>
      </w:rPr>
    </w:pPr>
    <w:r>
      <w:rPr>
        <w:rStyle w:val="a4"/>
        <w:rtl/>
      </w:rPr>
      <w:fldChar w:fldCharType="begin"/>
    </w:r>
    <w:r>
      <w:rPr>
        <w:rStyle w:val="a4"/>
      </w:rPr>
      <w:instrText xml:space="preserve">PAGE  </w:instrText>
    </w:r>
    <w:r>
      <w:rPr>
        <w:rStyle w:val="a4"/>
        <w:rtl/>
      </w:rPr>
      <w:fldChar w:fldCharType="separate"/>
    </w:r>
    <w:r w:rsidR="00BC0E82">
      <w:rPr>
        <w:rStyle w:val="a4"/>
        <w:noProof/>
        <w:rtl/>
      </w:rPr>
      <w:t>1</w:t>
    </w:r>
    <w:r>
      <w:rPr>
        <w:rStyle w:val="a4"/>
        <w:rtl/>
      </w:rPr>
      <w:fldChar w:fldCharType="end"/>
    </w:r>
  </w:p>
  <w:p w14:paraId="4E0B2DBF" w14:textId="77777777" w:rsidR="00377102" w:rsidRDefault="00377102">
    <w:pPr>
      <w:pStyle w:val="a3"/>
      <w:rPr>
        <w:rtl/>
      </w:rPr>
    </w:pPr>
  </w:p>
  <w:p w14:paraId="1DE6E76F" w14:textId="77777777" w:rsidR="00377102" w:rsidRDefault="00377102"/>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71F3B1" w14:textId="77777777" w:rsidR="00045B4D" w:rsidRPr="00F959DB" w:rsidRDefault="00045B4D" w:rsidP="00914156">
    <w:pPr>
      <w:pStyle w:val="a3"/>
      <w:bidi w:val="0"/>
      <w:jc w:val="right"/>
      <w:rPr>
        <w:sz w:val="16"/>
        <w:szCs w:val="16"/>
      </w:rPr>
    </w:pPr>
    <w:bookmarkStart w:id="6" w:name="footer_line"/>
    <w:bookmarkEnd w:id="6"/>
  </w:p>
  <w:p w14:paraId="169E758A" w14:textId="77777777" w:rsidR="00045B4D" w:rsidRDefault="00045B4D">
    <w:pPr>
      <w:pStyle w:val="a3"/>
      <w:rPr>
        <w:rtl/>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A5B1A5" w14:textId="77777777" w:rsidR="007F7512" w:rsidRDefault="007F7512">
      <w:r>
        <w:separator/>
      </w:r>
    </w:p>
  </w:footnote>
  <w:footnote w:type="continuationSeparator" w:id="0">
    <w:p w14:paraId="691804F8" w14:textId="77777777" w:rsidR="007F7512" w:rsidRDefault="007F75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8F2FA6" w14:textId="77777777" w:rsidR="00377102" w:rsidRDefault="00377102">
    <w:pPr>
      <w:pStyle w:val="a5"/>
      <w:framePr w:wrap="around" w:vAnchor="text" w:hAnchor="margin" w:xAlign="center" w:y="1"/>
      <w:rPr>
        <w:rStyle w:val="a4"/>
        <w:rtl/>
      </w:rPr>
    </w:pPr>
    <w:r>
      <w:rPr>
        <w:rStyle w:val="a4"/>
        <w:rtl/>
      </w:rPr>
      <w:fldChar w:fldCharType="begin"/>
    </w:r>
    <w:r>
      <w:rPr>
        <w:rStyle w:val="a4"/>
      </w:rPr>
      <w:instrText xml:space="preserve">PAGE  </w:instrText>
    </w:r>
    <w:r>
      <w:rPr>
        <w:rStyle w:val="a4"/>
        <w:rtl/>
      </w:rPr>
      <w:fldChar w:fldCharType="separate"/>
    </w:r>
    <w:r w:rsidR="00BC0E82">
      <w:rPr>
        <w:rStyle w:val="a4"/>
        <w:noProof/>
        <w:rtl/>
      </w:rPr>
      <w:t>1</w:t>
    </w:r>
    <w:r>
      <w:rPr>
        <w:rStyle w:val="a4"/>
        <w:rtl/>
      </w:rPr>
      <w:fldChar w:fldCharType="end"/>
    </w:r>
  </w:p>
  <w:p w14:paraId="5723F7DA" w14:textId="77777777" w:rsidR="00377102" w:rsidRDefault="00377102">
    <w:pPr>
      <w:pStyle w:val="a5"/>
      <w:rPr>
        <w:rtl/>
      </w:rPr>
    </w:pPr>
  </w:p>
  <w:p w14:paraId="19E84C7A" w14:textId="77777777" w:rsidR="00377102" w:rsidRDefault="0037710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D522CB" w14:textId="2D5F42E3" w:rsidR="00377102" w:rsidRDefault="00377102">
    <w:pPr>
      <w:pStyle w:val="a5"/>
      <w:framePr w:wrap="around" w:vAnchor="text" w:hAnchor="margin" w:xAlign="center" w:y="1"/>
      <w:rPr>
        <w:rStyle w:val="a4"/>
        <w:rtl/>
      </w:rPr>
    </w:pPr>
    <w:r>
      <w:rPr>
        <w:rStyle w:val="a4"/>
        <w:rtl/>
      </w:rPr>
      <w:fldChar w:fldCharType="begin"/>
    </w:r>
    <w:r>
      <w:rPr>
        <w:rStyle w:val="a4"/>
      </w:rPr>
      <w:instrText xml:space="preserve">PAGE  </w:instrText>
    </w:r>
    <w:r>
      <w:rPr>
        <w:rStyle w:val="a4"/>
        <w:rtl/>
      </w:rPr>
      <w:fldChar w:fldCharType="separate"/>
    </w:r>
    <w:r w:rsidR="00827F20">
      <w:rPr>
        <w:rStyle w:val="a4"/>
        <w:noProof/>
        <w:rtl/>
      </w:rPr>
      <w:t>2</w:t>
    </w:r>
    <w:r>
      <w:rPr>
        <w:rStyle w:val="a4"/>
        <w:rtl/>
      </w:rPr>
      <w:fldChar w:fldCharType="end"/>
    </w:r>
  </w:p>
  <w:p w14:paraId="20A48583" w14:textId="77777777" w:rsidR="00377102" w:rsidRDefault="00377102">
    <w:pPr>
      <w:pStyle w:val="a5"/>
      <w:rPr>
        <w:rtl/>
      </w:rPr>
    </w:pPr>
  </w:p>
  <w:p w14:paraId="62A2BC2B" w14:textId="77777777" w:rsidR="00377102" w:rsidRDefault="00377102"/>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8363" w:type="dxa"/>
      <w:tblLook w:val="0000" w:firstRow="0" w:lastRow="0" w:firstColumn="0" w:lastColumn="0" w:noHBand="0" w:noVBand="0"/>
    </w:tblPr>
    <w:tblGrid>
      <w:gridCol w:w="8363"/>
    </w:tblGrid>
    <w:tr w:rsidR="00045B4D" w14:paraId="34E72339" w14:textId="77777777" w:rsidTr="00EC23AC">
      <w:trPr>
        <w:trHeight w:val="342"/>
      </w:trPr>
      <w:tc>
        <w:tcPr>
          <w:tcW w:w="9828" w:type="dxa"/>
        </w:tcPr>
        <w:p w14:paraId="10695B7A" w14:textId="77777777" w:rsidR="00377102" w:rsidRPr="002F7BB6" w:rsidRDefault="00EE3810" w:rsidP="00045B4D">
          <w:pPr>
            <w:pStyle w:val="Casenameintextbody"/>
            <w:jc w:val="center"/>
            <w:rPr>
              <w:u w:val="none"/>
              <w:rtl/>
            </w:rPr>
          </w:pPr>
          <w:r w:rsidRPr="002F7BB6">
            <w:rPr>
              <w:noProof/>
              <w:sz w:val="16"/>
              <w:szCs w:val="18"/>
              <w:u w:val="none"/>
              <w:rtl/>
            </w:rPr>
            <w:drawing>
              <wp:inline distT="0" distB="0" distL="0" distR="0" wp14:anchorId="252F3913" wp14:editId="1FAD50F7">
                <wp:extent cx="464820" cy="449580"/>
                <wp:effectExtent l="0" t="0" r="0" b="7620"/>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4820" cy="449580"/>
                        </a:xfrm>
                        <a:prstGeom prst="rect">
                          <a:avLst/>
                        </a:prstGeom>
                        <a:noFill/>
                        <a:ln>
                          <a:noFill/>
                        </a:ln>
                      </pic:spPr>
                    </pic:pic>
                  </a:graphicData>
                </a:graphic>
              </wp:inline>
            </w:drawing>
          </w:r>
        </w:p>
      </w:tc>
    </w:tr>
  </w:tbl>
  <w:p w14:paraId="223F1BA0" w14:textId="77777777" w:rsidR="00045B4D" w:rsidRDefault="00045B4D" w:rsidP="00045B4D">
    <w:pPr>
      <w:pStyle w:val="a5"/>
      <w:jc w:val="center"/>
      <w:rPr>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77A4F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B8EE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6485F0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83003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204653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1CCE6B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10264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21A09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7046C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B800B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A6001B"/>
    <w:multiLevelType w:val="hybridMultilevel"/>
    <w:tmpl w:val="B2C4B5E4"/>
    <w:lvl w:ilvl="0" w:tplc="AC9A00EC">
      <w:start w:val="1"/>
      <w:numFmt w:val="decimal"/>
      <w:pStyle w:val="Ruller4"/>
      <w:lvlText w:val="%1."/>
      <w:lvlJc w:val="left"/>
      <w:pPr>
        <w:tabs>
          <w:tab w:val="num" w:pos="907"/>
        </w:tabs>
        <w:ind w:left="0" w:firstLine="0"/>
      </w:pPr>
      <w:rPr>
        <w:rFonts w:hint="default"/>
      </w:rPr>
    </w:lvl>
    <w:lvl w:ilvl="1" w:tplc="DDF8F390" w:tentative="1">
      <w:start w:val="1"/>
      <w:numFmt w:val="lowerLetter"/>
      <w:lvlText w:val="%2."/>
      <w:lvlJc w:val="left"/>
      <w:pPr>
        <w:tabs>
          <w:tab w:val="num" w:pos="1440"/>
        </w:tabs>
        <w:ind w:left="1440" w:hanging="360"/>
      </w:pPr>
    </w:lvl>
    <w:lvl w:ilvl="2" w:tplc="6F08EFFA" w:tentative="1">
      <w:start w:val="1"/>
      <w:numFmt w:val="lowerRoman"/>
      <w:lvlText w:val="%3."/>
      <w:lvlJc w:val="right"/>
      <w:pPr>
        <w:tabs>
          <w:tab w:val="num" w:pos="2160"/>
        </w:tabs>
        <w:ind w:left="2160" w:hanging="180"/>
      </w:pPr>
    </w:lvl>
    <w:lvl w:ilvl="3" w:tplc="FA0EAADA" w:tentative="1">
      <w:start w:val="1"/>
      <w:numFmt w:val="decimal"/>
      <w:lvlText w:val="%4."/>
      <w:lvlJc w:val="left"/>
      <w:pPr>
        <w:tabs>
          <w:tab w:val="num" w:pos="2880"/>
        </w:tabs>
        <w:ind w:left="2880" w:hanging="360"/>
      </w:pPr>
    </w:lvl>
    <w:lvl w:ilvl="4" w:tplc="E8D00C4E" w:tentative="1">
      <w:start w:val="1"/>
      <w:numFmt w:val="lowerLetter"/>
      <w:lvlText w:val="%5."/>
      <w:lvlJc w:val="left"/>
      <w:pPr>
        <w:tabs>
          <w:tab w:val="num" w:pos="3600"/>
        </w:tabs>
        <w:ind w:left="3600" w:hanging="360"/>
      </w:pPr>
    </w:lvl>
    <w:lvl w:ilvl="5" w:tplc="8E3279A0" w:tentative="1">
      <w:start w:val="1"/>
      <w:numFmt w:val="lowerRoman"/>
      <w:lvlText w:val="%6."/>
      <w:lvlJc w:val="right"/>
      <w:pPr>
        <w:tabs>
          <w:tab w:val="num" w:pos="4320"/>
        </w:tabs>
        <w:ind w:left="4320" w:hanging="180"/>
      </w:pPr>
    </w:lvl>
    <w:lvl w:ilvl="6" w:tplc="51049DEA" w:tentative="1">
      <w:start w:val="1"/>
      <w:numFmt w:val="decimal"/>
      <w:lvlText w:val="%7."/>
      <w:lvlJc w:val="left"/>
      <w:pPr>
        <w:tabs>
          <w:tab w:val="num" w:pos="5040"/>
        </w:tabs>
        <w:ind w:left="5040" w:hanging="360"/>
      </w:pPr>
    </w:lvl>
    <w:lvl w:ilvl="7" w:tplc="9A703A9A" w:tentative="1">
      <w:start w:val="1"/>
      <w:numFmt w:val="lowerLetter"/>
      <w:lvlText w:val="%8."/>
      <w:lvlJc w:val="left"/>
      <w:pPr>
        <w:tabs>
          <w:tab w:val="num" w:pos="5760"/>
        </w:tabs>
        <w:ind w:left="5760" w:hanging="360"/>
      </w:pPr>
    </w:lvl>
    <w:lvl w:ilvl="8" w:tplc="75967B34" w:tentative="1">
      <w:start w:val="1"/>
      <w:numFmt w:val="lowerRoman"/>
      <w:lvlText w:val="%9."/>
      <w:lvlJc w:val="right"/>
      <w:pPr>
        <w:tabs>
          <w:tab w:val="num" w:pos="6480"/>
        </w:tabs>
        <w:ind w:left="6480" w:hanging="18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0"/>
  <w:defaultTabStop w:val="720"/>
  <w:drawingGridHorizontalSpacing w:val="120"/>
  <w:drawingGridVerticalSpacing w:val="120"/>
  <w:displayVerticalDrawingGridEvery w:val="0"/>
  <w:doNotUseMarginsForDrawingGridOrigin/>
  <w:doNotShadeFormData/>
  <w:noPunctuationKerning/>
  <w:characterSpacingControl w:val="doNotCompress"/>
  <w:footnotePr>
    <w:footnote w:id="-1"/>
    <w:footnote w:id="0"/>
  </w:footnotePr>
  <w:endnotePr>
    <w:numFmt w:val="lowerLette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227"/>
    <w:rsid w:val="00016EF1"/>
    <w:rsid w:val="00032036"/>
    <w:rsid w:val="00035DC3"/>
    <w:rsid w:val="00036227"/>
    <w:rsid w:val="00044953"/>
    <w:rsid w:val="00045B4D"/>
    <w:rsid w:val="000725F5"/>
    <w:rsid w:val="00072AD2"/>
    <w:rsid w:val="00095DAE"/>
    <w:rsid w:val="000B1478"/>
    <w:rsid w:val="000B7EDA"/>
    <w:rsid w:val="000C4690"/>
    <w:rsid w:val="000D25C4"/>
    <w:rsid w:val="00134A67"/>
    <w:rsid w:val="001A0164"/>
    <w:rsid w:val="001B74F2"/>
    <w:rsid w:val="001E619C"/>
    <w:rsid w:val="00200D6B"/>
    <w:rsid w:val="00265F6E"/>
    <w:rsid w:val="002876BF"/>
    <w:rsid w:val="0029092B"/>
    <w:rsid w:val="002A4A7A"/>
    <w:rsid w:val="002A4BF3"/>
    <w:rsid w:val="002F7BB6"/>
    <w:rsid w:val="00341EB6"/>
    <w:rsid w:val="003448B2"/>
    <w:rsid w:val="00361DB2"/>
    <w:rsid w:val="0037622E"/>
    <w:rsid w:val="00377102"/>
    <w:rsid w:val="00377613"/>
    <w:rsid w:val="0039709B"/>
    <w:rsid w:val="003D72DA"/>
    <w:rsid w:val="003F1F97"/>
    <w:rsid w:val="0041048F"/>
    <w:rsid w:val="00437D59"/>
    <w:rsid w:val="004610A4"/>
    <w:rsid w:val="004B29FF"/>
    <w:rsid w:val="004C45DA"/>
    <w:rsid w:val="004C7868"/>
    <w:rsid w:val="00503A3E"/>
    <w:rsid w:val="00527F02"/>
    <w:rsid w:val="005803E2"/>
    <w:rsid w:val="0058350C"/>
    <w:rsid w:val="0058440A"/>
    <w:rsid w:val="005904A1"/>
    <w:rsid w:val="00591983"/>
    <w:rsid w:val="00614849"/>
    <w:rsid w:val="00624A42"/>
    <w:rsid w:val="0065522F"/>
    <w:rsid w:val="006A30F7"/>
    <w:rsid w:val="006C42AD"/>
    <w:rsid w:val="006C4501"/>
    <w:rsid w:val="00725345"/>
    <w:rsid w:val="00725714"/>
    <w:rsid w:val="007263ED"/>
    <w:rsid w:val="00741CC0"/>
    <w:rsid w:val="00786FBA"/>
    <w:rsid w:val="007A5012"/>
    <w:rsid w:val="007B512F"/>
    <w:rsid w:val="007F7512"/>
    <w:rsid w:val="00810894"/>
    <w:rsid w:val="008143AB"/>
    <w:rsid w:val="00817FB3"/>
    <w:rsid w:val="00827F20"/>
    <w:rsid w:val="0083345F"/>
    <w:rsid w:val="00836667"/>
    <w:rsid w:val="00866D0F"/>
    <w:rsid w:val="008C2F11"/>
    <w:rsid w:val="008D78B9"/>
    <w:rsid w:val="008E1585"/>
    <w:rsid w:val="008E3F85"/>
    <w:rsid w:val="009051E8"/>
    <w:rsid w:val="00914156"/>
    <w:rsid w:val="00916FF8"/>
    <w:rsid w:val="00922093"/>
    <w:rsid w:val="00930C85"/>
    <w:rsid w:val="009843C2"/>
    <w:rsid w:val="009B38DA"/>
    <w:rsid w:val="009E6C1F"/>
    <w:rsid w:val="009F2F53"/>
    <w:rsid w:val="009F4187"/>
    <w:rsid w:val="00A12E0F"/>
    <w:rsid w:val="00A1437D"/>
    <w:rsid w:val="00A51FAE"/>
    <w:rsid w:val="00A72D84"/>
    <w:rsid w:val="00A80845"/>
    <w:rsid w:val="00AA1EAA"/>
    <w:rsid w:val="00AB69F7"/>
    <w:rsid w:val="00AD097B"/>
    <w:rsid w:val="00AD64B9"/>
    <w:rsid w:val="00AE022B"/>
    <w:rsid w:val="00B009CC"/>
    <w:rsid w:val="00B0782A"/>
    <w:rsid w:val="00B409AD"/>
    <w:rsid w:val="00B62B8C"/>
    <w:rsid w:val="00B63343"/>
    <w:rsid w:val="00B87FF7"/>
    <w:rsid w:val="00BA0B08"/>
    <w:rsid w:val="00BB706C"/>
    <w:rsid w:val="00BC0E82"/>
    <w:rsid w:val="00BD40F9"/>
    <w:rsid w:val="00C41C86"/>
    <w:rsid w:val="00C63A6C"/>
    <w:rsid w:val="00CA13AF"/>
    <w:rsid w:val="00CA1444"/>
    <w:rsid w:val="00CA59A6"/>
    <w:rsid w:val="00CB1590"/>
    <w:rsid w:val="00CB7600"/>
    <w:rsid w:val="00CC0E9D"/>
    <w:rsid w:val="00CC3639"/>
    <w:rsid w:val="00D00B1D"/>
    <w:rsid w:val="00D00CB7"/>
    <w:rsid w:val="00D25F16"/>
    <w:rsid w:val="00D31C7C"/>
    <w:rsid w:val="00DD309C"/>
    <w:rsid w:val="00DE4A23"/>
    <w:rsid w:val="00DF3CE6"/>
    <w:rsid w:val="00E21CA9"/>
    <w:rsid w:val="00E31063"/>
    <w:rsid w:val="00E36FE9"/>
    <w:rsid w:val="00E73E98"/>
    <w:rsid w:val="00E75223"/>
    <w:rsid w:val="00E90D72"/>
    <w:rsid w:val="00EA0BE1"/>
    <w:rsid w:val="00EC23AC"/>
    <w:rsid w:val="00EC2992"/>
    <w:rsid w:val="00ED20C7"/>
    <w:rsid w:val="00ED46A4"/>
    <w:rsid w:val="00ED6FD9"/>
    <w:rsid w:val="00EE3810"/>
    <w:rsid w:val="00F63C3B"/>
    <w:rsid w:val="00F959DB"/>
    <w:rsid w:val="00FC0252"/>
    <w:rsid w:val="00FD2BD8"/>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C9146B"/>
  <w15:chartTrackingRefBased/>
  <w15:docId w15:val="{616A036A-03BB-4CE9-ADBF-ECB6B7BF0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bidi/>
      <w:adjustRightInd w:val="0"/>
      <w:textAlignment w:val="baseline"/>
    </w:pPr>
    <w:rPr>
      <w:rFonts w:cs="David"/>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uller3">
    <w:name w:val="Ruller 3"/>
    <w:basedOn w:val="a"/>
    <w:rsid w:val="00A51FAE"/>
    <w:pPr>
      <w:tabs>
        <w:tab w:val="left" w:pos="3210"/>
        <w:tab w:val="left" w:pos="6753"/>
      </w:tabs>
      <w:spacing w:line="360" w:lineRule="auto"/>
    </w:pPr>
    <w:rPr>
      <w:rFonts w:cs="FrankRuehl"/>
      <w:spacing w:val="10"/>
      <w:sz w:val="22"/>
      <w:szCs w:val="28"/>
    </w:rPr>
  </w:style>
  <w:style w:type="paragraph" w:customStyle="1" w:styleId="Pskdinhead">
    <w:name w:val="Pskdin head"/>
    <w:basedOn w:val="a"/>
    <w:pPr>
      <w:spacing w:line="360" w:lineRule="auto"/>
    </w:pPr>
    <w:rPr>
      <w:b/>
      <w:bCs/>
      <w:u w:val="single"/>
    </w:rPr>
  </w:style>
  <w:style w:type="paragraph" w:customStyle="1" w:styleId="FileNumber">
    <w:name w:val="File Number"/>
    <w:basedOn w:val="a"/>
    <w:pPr>
      <w:spacing w:line="360" w:lineRule="auto"/>
      <w:jc w:val="right"/>
    </w:pPr>
    <w:rPr>
      <w:bCs/>
    </w:rPr>
  </w:style>
  <w:style w:type="paragraph" w:customStyle="1" w:styleId="FirstpagestylePsakdin">
    <w:name w:val="First page style Psak din"/>
    <w:basedOn w:val="Ruller3"/>
    <w:pPr>
      <w:tabs>
        <w:tab w:val="clear" w:pos="3210"/>
        <w:tab w:val="left" w:pos="3209"/>
      </w:tabs>
    </w:pPr>
    <w:rPr>
      <w:bCs/>
    </w:rPr>
  </w:style>
  <w:style w:type="paragraph" w:customStyle="1" w:styleId="TyutaDate">
    <w:name w:val="Tyuta Date"/>
    <w:basedOn w:val="a"/>
    <w:pPr>
      <w:jc w:val="center"/>
    </w:pPr>
    <w:rPr>
      <w:b/>
      <w:bCs/>
      <w:i/>
      <w:iCs/>
      <w:sz w:val="28"/>
      <w:szCs w:val="28"/>
    </w:rPr>
  </w:style>
  <w:style w:type="paragraph" w:customStyle="1" w:styleId="DocumentHead">
    <w:name w:val="Document Head"/>
    <w:basedOn w:val="a"/>
    <w:pPr>
      <w:spacing w:line="360" w:lineRule="auto"/>
      <w:jc w:val="center"/>
    </w:pPr>
    <w:rPr>
      <w:bCs/>
      <w:spacing w:val="30"/>
      <w:szCs w:val="28"/>
      <w:u w:val="single"/>
    </w:rPr>
  </w:style>
  <w:style w:type="paragraph" w:customStyle="1" w:styleId="TfutzaList">
    <w:name w:val="Tfutza List"/>
    <w:basedOn w:val="a"/>
    <w:rPr>
      <w:i/>
      <w:iCs/>
    </w:rPr>
  </w:style>
  <w:style w:type="paragraph" w:customStyle="1" w:styleId="Ruller40">
    <w:name w:val="Ruller4"/>
    <w:basedOn w:val="a"/>
    <w:link w:val="Ruller41"/>
    <w:rsid w:val="00A51FAE"/>
    <w:pPr>
      <w:tabs>
        <w:tab w:val="left" w:pos="800"/>
      </w:tabs>
      <w:spacing w:line="360" w:lineRule="auto"/>
      <w:jc w:val="both"/>
    </w:pPr>
    <w:rPr>
      <w:rFonts w:ascii="Arial TUR" w:hAnsi="Arial TUR" w:cs="FrankRuehl"/>
      <w:spacing w:val="10"/>
      <w:sz w:val="22"/>
      <w:szCs w:val="28"/>
    </w:rPr>
  </w:style>
  <w:style w:type="paragraph" w:customStyle="1" w:styleId="Ruller5">
    <w:name w:val="Ruller5"/>
    <w:basedOn w:val="a"/>
    <w:rsid w:val="00A51FAE"/>
    <w:pPr>
      <w:ind w:left="1642" w:right="1282"/>
      <w:jc w:val="both"/>
    </w:pPr>
    <w:rPr>
      <w:rFonts w:ascii="Arial TUR" w:hAnsi="Arial TUR" w:cs="FrankRuehl"/>
      <w:spacing w:val="10"/>
      <w:sz w:val="22"/>
      <w:szCs w:val="28"/>
    </w:rPr>
  </w:style>
  <w:style w:type="paragraph" w:customStyle="1" w:styleId="Ruller6">
    <w:name w:val="Ruller6"/>
    <w:basedOn w:val="a"/>
    <w:rsid w:val="00A51FAE"/>
    <w:pPr>
      <w:tabs>
        <w:tab w:val="left" w:pos="794"/>
        <w:tab w:val="left" w:pos="2268"/>
        <w:tab w:val="left" w:pos="5783"/>
        <w:tab w:val="left" w:pos="7371"/>
      </w:tabs>
    </w:pPr>
    <w:rPr>
      <w:rFonts w:ascii="Arial TUR" w:hAnsi="Arial TUR" w:cs="DavidFix"/>
      <w:spacing w:val="10"/>
      <w:sz w:val="22"/>
      <w:szCs w:val="20"/>
    </w:rPr>
  </w:style>
  <w:style w:type="character" w:customStyle="1" w:styleId="Delete">
    <w:name w:val="Delete"/>
    <w:rPr>
      <w:strike/>
    </w:rPr>
  </w:style>
  <w:style w:type="paragraph" w:customStyle="1" w:styleId="WriterName">
    <w:name w:val="Writer Name"/>
    <w:basedOn w:val="Ruller40"/>
    <w:next w:val="Ruller40"/>
    <w:rPr>
      <w:rFonts w:cs="David"/>
      <w:b/>
      <w:bCs/>
      <w:u w:val="single"/>
    </w:rPr>
  </w:style>
  <w:style w:type="character" w:customStyle="1" w:styleId="Hand">
    <w:name w:val="Hand"/>
    <w:rPr>
      <w:rFonts w:cs="Guttman Yad"/>
    </w:rPr>
  </w:style>
  <w:style w:type="paragraph" w:styleId="a3">
    <w:name w:val="footer"/>
    <w:basedOn w:val="a"/>
    <w:pPr>
      <w:tabs>
        <w:tab w:val="center" w:pos="4153"/>
        <w:tab w:val="right" w:pos="8306"/>
      </w:tabs>
    </w:pPr>
  </w:style>
  <w:style w:type="character" w:styleId="a4">
    <w:name w:val="page number"/>
    <w:basedOn w:val="a0"/>
  </w:style>
  <w:style w:type="paragraph" w:styleId="a5">
    <w:name w:val="header"/>
    <w:basedOn w:val="a"/>
    <w:pPr>
      <w:tabs>
        <w:tab w:val="center" w:pos="4153"/>
        <w:tab w:val="right" w:pos="8306"/>
      </w:tabs>
    </w:pPr>
  </w:style>
  <w:style w:type="paragraph" w:customStyle="1" w:styleId="2">
    <w:name w:val="ñâðåï2"/>
    <w:basedOn w:val="a"/>
    <w:pPr>
      <w:overflowPunct/>
      <w:textAlignment w:val="auto"/>
    </w:pPr>
    <w:rPr>
      <w:rFonts w:cs="Times New Roman"/>
    </w:rPr>
  </w:style>
  <w:style w:type="paragraph" w:customStyle="1" w:styleId="Casenameintextbody">
    <w:name w:val="Case name in text body"/>
    <w:basedOn w:val="a"/>
    <w:pPr>
      <w:overflowPunct/>
      <w:jc w:val="right"/>
      <w:textAlignment w:val="auto"/>
    </w:pPr>
    <w:rPr>
      <w:rFonts w:cs="Times New Roman"/>
      <w:b/>
      <w:bCs/>
      <w:u w:val="single"/>
    </w:rPr>
  </w:style>
  <w:style w:type="paragraph" w:customStyle="1" w:styleId="precasestyle">
    <w:name w:val="pre_case style"/>
    <w:basedOn w:val="a"/>
    <w:pPr>
      <w:tabs>
        <w:tab w:val="left" w:pos="2552"/>
      </w:tabs>
      <w:overflowPunct/>
      <w:ind w:right="2549"/>
      <w:textAlignment w:val="auto"/>
    </w:pPr>
    <w:rPr>
      <w:rFonts w:cs="Times New Roman"/>
    </w:rPr>
  </w:style>
  <w:style w:type="paragraph" w:customStyle="1" w:styleId="BodyRuller">
    <w:name w:val="Body Ruller"/>
    <w:basedOn w:val="a"/>
    <w:rPr>
      <w:sz w:val="22"/>
      <w:szCs w:val="28"/>
    </w:rPr>
  </w:style>
  <w:style w:type="paragraph" w:customStyle="1" w:styleId="Ruller38">
    <w:name w:val="סגנון Ruller 3 + (מורכב) ‏8 נק"/>
    <w:basedOn w:val="BodyRuller"/>
    <w:rPr>
      <w:szCs w:val="16"/>
    </w:rPr>
  </w:style>
  <w:style w:type="character" w:customStyle="1" w:styleId="Ruller30">
    <w:name w:val="Ruller 3 תו"/>
    <w:rPr>
      <w:rFonts w:cs="FrankRuehl"/>
      <w:sz w:val="22"/>
      <w:szCs w:val="28"/>
      <w:lang w:val="en-US" w:eastAsia="en-US" w:bidi="he-IL"/>
    </w:rPr>
  </w:style>
  <w:style w:type="character" w:customStyle="1" w:styleId="BodyRuller0">
    <w:name w:val="Body Ruller תו"/>
    <w:rPr>
      <w:rFonts w:cs="David"/>
      <w:sz w:val="22"/>
      <w:szCs w:val="28"/>
      <w:lang w:val="en-US" w:eastAsia="en-US" w:bidi="he-IL"/>
    </w:rPr>
  </w:style>
  <w:style w:type="character" w:customStyle="1" w:styleId="Ruller380">
    <w:name w:val="סגנון Ruller 3 + (מורכב) ‏8 נק תו"/>
    <w:rPr>
      <w:rFonts w:cs="David"/>
      <w:sz w:val="22"/>
      <w:szCs w:val="16"/>
      <w:lang w:val="en-US" w:eastAsia="en-US" w:bidi="he-IL"/>
    </w:rPr>
  </w:style>
  <w:style w:type="paragraph" w:customStyle="1" w:styleId="FileNumber0">
    <w:name w:val="סגנון File Number + ימין"/>
    <w:basedOn w:val="FileNumber"/>
    <w:rsid w:val="004C7868"/>
    <w:pPr>
      <w:jc w:val="left"/>
    </w:pPr>
    <w:rPr>
      <w:szCs w:val="28"/>
    </w:rPr>
  </w:style>
  <w:style w:type="paragraph" w:customStyle="1" w:styleId="BODYVERDICT">
    <w:name w:val="BODY VERDICT"/>
    <w:basedOn w:val="a"/>
    <w:rsid w:val="00036227"/>
    <w:rPr>
      <w:rFonts w:cs="FrankRuehl"/>
      <w:spacing w:val="10"/>
      <w:sz w:val="22"/>
      <w:szCs w:val="28"/>
    </w:rPr>
  </w:style>
  <w:style w:type="character" w:styleId="Hyperlink">
    <w:name w:val="Hyperlink"/>
    <w:rsid w:val="003F1F97"/>
    <w:rPr>
      <w:color w:val="0000FF"/>
      <w:u w:val="single"/>
    </w:rPr>
  </w:style>
  <w:style w:type="table" w:styleId="a6">
    <w:name w:val="Table Grid"/>
    <w:basedOn w:val="a1"/>
    <w:rsid w:val="003F1F97"/>
    <w:pPr>
      <w:overflowPunct w:val="0"/>
      <w:autoSpaceDE w:val="0"/>
      <w:autoSpaceDN w:val="0"/>
      <w:bidi/>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a0"/>
    <w:rsid w:val="0058440A"/>
    <w:rPr>
      <w:color w:val="954F72" w:themeColor="followedHyperlink"/>
      <w:u w:val="single"/>
    </w:rPr>
  </w:style>
  <w:style w:type="character" w:styleId="a7">
    <w:name w:val="annotation reference"/>
    <w:basedOn w:val="a0"/>
    <w:rsid w:val="00D00B1D"/>
    <w:rPr>
      <w:sz w:val="16"/>
      <w:szCs w:val="16"/>
    </w:rPr>
  </w:style>
  <w:style w:type="paragraph" w:styleId="a8">
    <w:name w:val="annotation text"/>
    <w:basedOn w:val="a"/>
    <w:link w:val="a9"/>
    <w:rsid w:val="00D00B1D"/>
    <w:rPr>
      <w:szCs w:val="20"/>
    </w:rPr>
  </w:style>
  <w:style w:type="character" w:customStyle="1" w:styleId="a9">
    <w:name w:val="טקסט הערה תו"/>
    <w:basedOn w:val="a0"/>
    <w:link w:val="a8"/>
    <w:rsid w:val="00D00B1D"/>
    <w:rPr>
      <w:rFonts w:cs="David"/>
    </w:rPr>
  </w:style>
  <w:style w:type="paragraph" w:styleId="aa">
    <w:name w:val="annotation subject"/>
    <w:basedOn w:val="a8"/>
    <w:next w:val="a8"/>
    <w:link w:val="ab"/>
    <w:rsid w:val="00D00B1D"/>
    <w:rPr>
      <w:b/>
      <w:bCs/>
    </w:rPr>
  </w:style>
  <w:style w:type="character" w:customStyle="1" w:styleId="ab">
    <w:name w:val="נושא הערה תו"/>
    <w:basedOn w:val="a9"/>
    <w:link w:val="aa"/>
    <w:rsid w:val="00D00B1D"/>
    <w:rPr>
      <w:rFonts w:cs="David"/>
      <w:b/>
      <w:bCs/>
    </w:rPr>
  </w:style>
  <w:style w:type="paragraph" w:styleId="ac">
    <w:name w:val="Balloon Text"/>
    <w:basedOn w:val="a"/>
    <w:link w:val="ad"/>
    <w:rsid w:val="00D00B1D"/>
    <w:rPr>
      <w:rFonts w:ascii="Tahoma" w:hAnsi="Tahoma" w:cs="Tahoma"/>
      <w:sz w:val="18"/>
      <w:szCs w:val="18"/>
    </w:rPr>
  </w:style>
  <w:style w:type="character" w:customStyle="1" w:styleId="ad">
    <w:name w:val="טקסט בלונים תו"/>
    <w:basedOn w:val="a0"/>
    <w:link w:val="ac"/>
    <w:rsid w:val="00D00B1D"/>
    <w:rPr>
      <w:rFonts w:ascii="Tahoma" w:hAnsi="Tahoma" w:cs="Tahoma"/>
      <w:sz w:val="18"/>
      <w:szCs w:val="18"/>
    </w:rPr>
  </w:style>
  <w:style w:type="character" w:customStyle="1" w:styleId="Ruller41">
    <w:name w:val="Ruller4 תו"/>
    <w:link w:val="Ruller40"/>
    <w:locked/>
    <w:rsid w:val="00B409AD"/>
    <w:rPr>
      <w:rFonts w:ascii="Arial TUR" w:hAnsi="Arial TUR" w:cs="FrankRuehl"/>
      <w:spacing w:val="10"/>
      <w:sz w:val="22"/>
      <w:szCs w:val="28"/>
    </w:rPr>
  </w:style>
  <w:style w:type="paragraph" w:customStyle="1" w:styleId="ruller31">
    <w:name w:val="ruller 3"/>
    <w:basedOn w:val="a"/>
    <w:rsid w:val="00A72D84"/>
    <w:pPr>
      <w:overflowPunct/>
      <w:textAlignment w:val="auto"/>
    </w:pPr>
    <w:rPr>
      <w:sz w:val="22"/>
    </w:rPr>
  </w:style>
  <w:style w:type="paragraph" w:customStyle="1" w:styleId="BODYPROTOCOL">
    <w:name w:val="BODY PROTOCOL"/>
    <w:basedOn w:val="a"/>
    <w:rsid w:val="00A72D84"/>
    <w:pPr>
      <w:tabs>
        <w:tab w:val="left" w:pos="2552"/>
      </w:tabs>
      <w:overflowPunct/>
      <w:spacing w:line="360" w:lineRule="auto"/>
      <w:jc w:val="both"/>
      <w:textAlignment w:val="auto"/>
    </w:pPr>
    <w:rPr>
      <w:rFonts w:cs="FrankRuehl"/>
      <w:spacing w:val="10"/>
      <w:sz w:val="22"/>
      <w:szCs w:val="28"/>
    </w:rPr>
  </w:style>
  <w:style w:type="paragraph" w:customStyle="1" w:styleId="Ruller4">
    <w:name w:val="Ruller 4 ממוספר"/>
    <w:basedOn w:val="Ruller40"/>
    <w:next w:val="Ruller40"/>
    <w:rsid w:val="00D31C7C"/>
    <w:pPr>
      <w:numPr>
        <w:numId w:val="11"/>
      </w:numPr>
      <w:tabs>
        <w:tab w:val="clear" w:pos="907"/>
        <w:tab w:val="num" w:pos="360"/>
      </w:tabs>
    </w:pPr>
    <w:rPr>
      <w:rFonts w:ascii="Garamond" w:hAnsi="Garamond"/>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7843606">
      <w:bodyDiv w:val="1"/>
      <w:marLeft w:val="0"/>
      <w:marRight w:val="0"/>
      <w:marTop w:val="0"/>
      <w:marBottom w:val="0"/>
      <w:divBdr>
        <w:top w:val="none" w:sz="0" w:space="0" w:color="auto"/>
        <w:left w:val="none" w:sz="0" w:space="0" w:color="auto"/>
        <w:bottom w:val="none" w:sz="0" w:space="0" w:color="auto"/>
        <w:right w:val="none" w:sz="0" w:space="0" w:color="auto"/>
      </w:divBdr>
    </w:div>
    <w:div w:id="1789543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supreme.court.gov.i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2286</Words>
  <Characters>10994</Characters>
  <Application>Microsoft Office Word</Application>
  <DocSecurity>0</DocSecurity>
  <Lines>318</Lines>
  <Paragraphs>72</Paragraphs>
  <ScaleCrop>false</ScaleCrop>
  <HeadingPairs>
    <vt:vector size="2" baseType="variant">
      <vt:variant>
        <vt:lpstr>שם</vt:lpstr>
      </vt:variant>
      <vt:variant>
        <vt:i4>1</vt:i4>
      </vt:variant>
    </vt:vector>
  </HeadingPairs>
  <TitlesOfParts>
    <vt:vector size="1" baseType="lpstr">
      <vt:lpstr>פסק-דין בתיק בג"ץ  3030/23</vt:lpstr>
    </vt:vector>
  </TitlesOfParts>
  <Company>supreme court of israel</Company>
  <LinksUpToDate>false</LinksUpToDate>
  <CharactersWithSpaces>13297</CharactersWithSpaces>
  <SharedDoc>false</SharedDoc>
  <HLinks>
    <vt:vector size="6" baseType="variant">
      <vt:variant>
        <vt:i4>1966158</vt:i4>
      </vt:variant>
      <vt:variant>
        <vt:i4>12</vt:i4>
      </vt:variant>
      <vt:variant>
        <vt:i4>0</vt:i4>
      </vt:variant>
      <vt:variant>
        <vt:i4>5</vt:i4>
      </vt:variant>
      <vt:variant>
        <vt:lpwstr>http://www.court.gov.il/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פסק-דין בתיק בג"ץ  3030/23</dc:title>
  <dc:subject/>
  <dc:creator>Administrator</dc:creator>
  <cp:keywords/>
  <dc:description/>
  <cp:lastModifiedBy>גרמאו מנגיסטו</cp:lastModifiedBy>
  <cp:revision>2</cp:revision>
  <cp:lastPrinted>2023-04-23T16:00:00Z</cp:lastPrinted>
  <dcterms:created xsi:type="dcterms:W3CDTF">2023-04-24T06:02:00Z</dcterms:created>
  <dcterms:modified xsi:type="dcterms:W3CDTF">2023-04-24T06:02:00Z</dcterms:modified>
</cp:coreProperties>
</file>